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E5069" w14:textId="2C1CED68" w:rsidR="007045D4"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#110 meeting</w:t>
      </w:r>
      <w:r>
        <w:rPr>
          <w:rFonts w:ascii="Arial" w:eastAsia="Arial" w:hAnsi="Arial" w:cs="Arial"/>
          <w:b/>
          <w:color w:val="000000"/>
        </w:rPr>
        <w:t xml:space="preserve"> </w:t>
      </w:r>
      <w:r>
        <w:rPr>
          <w:rFonts w:ascii="Arial" w:eastAsia="Arial" w:hAnsi="Arial" w:cs="Arial"/>
          <w:b/>
          <w:color w:val="000000"/>
        </w:rPr>
        <w:tab/>
        <w:t xml:space="preserve"> </w:t>
      </w:r>
      <w:r>
        <w:rPr>
          <w:rFonts w:ascii="Arial" w:eastAsia="Arial" w:hAnsi="Arial" w:cs="Arial"/>
          <w:b/>
          <w:color w:val="000000"/>
        </w:rPr>
        <w:tab/>
      </w:r>
      <w:r>
        <w:rPr>
          <w:rFonts w:ascii="Arial" w:eastAsia="Arial" w:hAnsi="Arial" w:cs="Arial"/>
          <w:b/>
          <w:color w:val="000000"/>
          <w:sz w:val="24"/>
          <w:szCs w:val="24"/>
        </w:rPr>
        <w:t>R4-24</w:t>
      </w:r>
      <w:r w:rsidR="000A458E">
        <w:rPr>
          <w:rFonts w:ascii="Arial" w:eastAsia="Arial" w:hAnsi="Arial" w:cs="Arial"/>
          <w:b/>
          <w:color w:val="000000"/>
          <w:sz w:val="24"/>
          <w:szCs w:val="24"/>
        </w:rPr>
        <w:t>00553</w:t>
      </w:r>
    </w:p>
    <w:p w14:paraId="586FC84D" w14:textId="77777777" w:rsidR="007045D4" w:rsidRDefault="00000000">
      <w:pPr>
        <w:rPr>
          <w:rFonts w:ascii="Arial" w:eastAsia="Arial" w:hAnsi="Arial" w:cs="Arial"/>
          <w:b/>
          <w:sz w:val="24"/>
          <w:szCs w:val="24"/>
        </w:rPr>
      </w:pPr>
      <w:r>
        <w:rPr>
          <w:rFonts w:ascii="Arial" w:eastAsia="Arial" w:hAnsi="Arial" w:cs="Arial"/>
          <w:b/>
          <w:sz w:val="24"/>
          <w:szCs w:val="24"/>
        </w:rPr>
        <w:t>Athens, Greece, 26</w:t>
      </w:r>
      <w:r>
        <w:rPr>
          <w:rFonts w:ascii="Arial" w:eastAsia="Arial" w:hAnsi="Arial" w:cs="Arial"/>
          <w:b/>
          <w:sz w:val="24"/>
          <w:szCs w:val="24"/>
          <w:vertAlign w:val="superscript"/>
        </w:rPr>
        <w:t>th</w:t>
      </w:r>
      <w:r>
        <w:rPr>
          <w:rFonts w:ascii="Arial" w:eastAsia="Arial" w:hAnsi="Arial" w:cs="Arial"/>
          <w:b/>
          <w:sz w:val="24"/>
          <w:szCs w:val="24"/>
        </w:rPr>
        <w:t xml:space="preserve"> Feb. – 01</w:t>
      </w:r>
      <w:r>
        <w:rPr>
          <w:rFonts w:ascii="Arial" w:eastAsia="Arial" w:hAnsi="Arial" w:cs="Arial"/>
          <w:b/>
          <w:sz w:val="24"/>
          <w:szCs w:val="24"/>
          <w:vertAlign w:val="superscript"/>
        </w:rPr>
        <w:t>st</w:t>
      </w:r>
      <w:r>
        <w:rPr>
          <w:rFonts w:ascii="Arial" w:eastAsia="Arial" w:hAnsi="Arial" w:cs="Arial"/>
          <w:b/>
          <w:sz w:val="24"/>
          <w:szCs w:val="24"/>
        </w:rPr>
        <w:t xml:space="preserve"> </w:t>
      </w:r>
      <w:proofErr w:type="gramStart"/>
      <w:r>
        <w:rPr>
          <w:rFonts w:ascii="Arial" w:eastAsia="Arial" w:hAnsi="Arial" w:cs="Arial"/>
          <w:b/>
          <w:sz w:val="24"/>
          <w:szCs w:val="24"/>
        </w:rPr>
        <w:t>March,</w:t>
      </w:r>
      <w:proofErr w:type="gramEnd"/>
      <w:r>
        <w:rPr>
          <w:rFonts w:ascii="Arial" w:eastAsia="Arial" w:hAnsi="Arial" w:cs="Arial"/>
          <w:b/>
          <w:sz w:val="24"/>
          <w:szCs w:val="24"/>
        </w:rPr>
        <w:t xml:space="preserve"> 2024</w:t>
      </w:r>
    </w:p>
    <w:p w14:paraId="53640B10" w14:textId="77777777" w:rsidR="007045D4" w:rsidRDefault="007045D4">
      <w:pPr>
        <w:pStyle w:val="3"/>
        <w:tabs>
          <w:tab w:val="left" w:pos="360"/>
          <w:tab w:val="left" w:pos="1710"/>
        </w:tabs>
        <w:rPr>
          <w:rFonts w:ascii="Arial" w:eastAsia="Arial" w:hAnsi="Arial" w:cs="Arial"/>
          <w:b/>
          <w:color w:val="000000"/>
          <w:sz w:val="20"/>
          <w:szCs w:val="20"/>
        </w:rPr>
      </w:pPr>
    </w:p>
    <w:p w14:paraId="40093D87" w14:textId="77777777" w:rsidR="007045D4"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t>6.3.1</w:t>
      </w:r>
    </w:p>
    <w:p w14:paraId="3D8A4048" w14:textId="77777777" w:rsidR="007045D4"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7BD0D4A2" w14:textId="77777777" w:rsidR="007045D4" w:rsidRDefault="00000000">
      <w:pPr>
        <w:pStyle w:val="3"/>
        <w:tabs>
          <w:tab w:val="left" w:pos="360"/>
          <w:tab w:val="left" w:pos="1710"/>
        </w:tabs>
        <w:ind w:left="1710" w:hanging="1710"/>
        <w:jc w:val="left"/>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t xml:space="preserve">Discussion on </w:t>
      </w:r>
      <w:r>
        <w:rPr>
          <w:rFonts w:ascii="Arial" w:eastAsia="Arial" w:hAnsi="Arial" w:cs="Arial"/>
          <w:b/>
          <w:sz w:val="20"/>
          <w:szCs w:val="20"/>
        </w:rPr>
        <w:t>OTA evaluation Methodology of 2Rx non-RedCap XR Device</w:t>
      </w:r>
    </w:p>
    <w:p w14:paraId="157A39D3" w14:textId="77777777" w:rsidR="007045D4"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0D090795" w14:textId="77777777" w:rsidR="007045D4" w:rsidRDefault="00000000">
      <w:pPr>
        <w:pStyle w:val="1"/>
        <w:numPr>
          <w:ilvl w:val="0"/>
          <w:numId w:val="1"/>
        </w:numPr>
        <w:spacing w:before="240"/>
        <w:ind w:left="270" w:hanging="270"/>
      </w:pPr>
      <w:bookmarkStart w:id="0" w:name="_heading=h.gjdgxs" w:colFirst="0" w:colLast="0"/>
      <w:bookmarkEnd w:id="0"/>
      <w:r>
        <w:t>Introduction</w:t>
      </w:r>
    </w:p>
    <w:p w14:paraId="2E748DE3" w14:textId="77777777" w:rsidR="007045D4" w:rsidRDefault="00000000">
      <w:r>
        <w:t>In RAN #101 meeting Bangalore, RAN endorsed the step 1 and step2 to allow the 2Rx relaxation of non-REDCAP XR devices in the 4Rx mandatory NR bands [1]. Furthermore, RAN made consensus to study of the feasibility of tightened 2Rx REFSENS requirements (in relation to existing 2Rx and 4Rx REFSENS) for the bands where 4Rx is mandatory and provide the feasible REFSENS values in RAN4 110 meeting [2] as follows:</w:t>
      </w:r>
    </w:p>
    <w:p w14:paraId="4873FE21" w14:textId="77777777" w:rsidR="007045D4" w:rsidRDefault="007045D4"/>
    <w:tbl>
      <w:tblPr>
        <w:tblStyle w:val="71"/>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7045D4" w14:paraId="67B605F6" w14:textId="77777777">
        <w:tc>
          <w:tcPr>
            <w:tcW w:w="9019" w:type="dxa"/>
          </w:tcPr>
          <w:p w14:paraId="24E90877" w14:textId="77777777" w:rsidR="007045D4" w:rsidRDefault="00000000">
            <w:pPr>
              <w:widowControl/>
              <w:numPr>
                <w:ilvl w:val="0"/>
                <w:numId w:val="2"/>
              </w:numPr>
              <w:pBdr>
                <w:top w:val="nil"/>
                <w:left w:val="nil"/>
                <w:bottom w:val="nil"/>
                <w:right w:val="nil"/>
                <w:between w:val="nil"/>
              </w:pBdr>
              <w:spacing w:after="0" w:line="259" w:lineRule="auto"/>
              <w:ind w:left="360"/>
              <w:jc w:val="left"/>
            </w:pPr>
            <w:r>
              <w:rPr>
                <w:b/>
                <w:color w:val="000000"/>
                <w:u w:val="single"/>
              </w:rPr>
              <w:t>Task RAN2 and RAN3</w:t>
            </w:r>
            <w:r>
              <w:rPr>
                <w:color w:val="000000"/>
              </w:rPr>
              <w:t xml:space="preserve"> to develop signaling support for ‘2Rx non-REDCAP XR devices’, send corresponding Release-18 draft CR(s) to RAN#103:</w:t>
            </w:r>
          </w:p>
          <w:p w14:paraId="1AF673DB" w14:textId="77777777" w:rsidR="007045D4" w:rsidRDefault="00000000">
            <w:pPr>
              <w:widowControl/>
              <w:numPr>
                <w:ilvl w:val="0"/>
                <w:numId w:val="3"/>
              </w:numPr>
              <w:pBdr>
                <w:top w:val="nil"/>
                <w:left w:val="nil"/>
                <w:bottom w:val="nil"/>
                <w:right w:val="nil"/>
                <w:between w:val="nil"/>
              </w:pBdr>
              <w:spacing w:after="0" w:line="259" w:lineRule="auto"/>
              <w:ind w:left="720"/>
              <w:jc w:val="left"/>
            </w:pPr>
            <w:r>
              <w:rPr>
                <w:color w:val="000000"/>
              </w:rPr>
              <w:t>A new dedicated UE capability indication per band and setting of corresponding existing UE capability(ies). [RAN2]</w:t>
            </w:r>
            <w:r>
              <w:rPr>
                <w:color w:val="000000"/>
              </w:rPr>
              <w:br/>
            </w:r>
            <w:r>
              <w:rPr>
                <w:i/>
                <w:color w:val="000000"/>
              </w:rPr>
              <w:t>Note: no need is foreseen to add an indication to Msg1 or Msg3.</w:t>
            </w:r>
          </w:p>
          <w:p w14:paraId="7BC75BFE" w14:textId="77777777" w:rsidR="007045D4" w:rsidRDefault="00000000">
            <w:pPr>
              <w:widowControl/>
              <w:numPr>
                <w:ilvl w:val="0"/>
                <w:numId w:val="3"/>
              </w:numPr>
              <w:pBdr>
                <w:top w:val="nil"/>
                <w:left w:val="nil"/>
                <w:bottom w:val="nil"/>
                <w:right w:val="nil"/>
                <w:between w:val="nil"/>
              </w:pBdr>
              <w:spacing w:after="0" w:line="259" w:lineRule="auto"/>
              <w:ind w:left="720"/>
              <w:jc w:val="left"/>
            </w:pPr>
            <w:r>
              <w:rPr>
                <w:color w:val="000000"/>
              </w:rPr>
              <w:t xml:space="preserve">Indication in SIB, to be used to </w:t>
            </w:r>
            <w:r>
              <w:t>redirect</w:t>
            </w:r>
            <w:r>
              <w:rPr>
                <w:color w:val="000000"/>
              </w:rPr>
              <w:t xml:space="preserve"> to another frequency layer, or to bar the device altogether. [RAN2] </w:t>
            </w:r>
          </w:p>
          <w:p w14:paraId="2A210B66" w14:textId="77777777" w:rsidR="007045D4" w:rsidRDefault="00000000">
            <w:pPr>
              <w:widowControl/>
              <w:numPr>
                <w:ilvl w:val="0"/>
                <w:numId w:val="3"/>
              </w:numPr>
              <w:pBdr>
                <w:top w:val="nil"/>
                <w:left w:val="nil"/>
                <w:bottom w:val="nil"/>
                <w:right w:val="nil"/>
                <w:between w:val="nil"/>
              </w:pBdr>
              <w:spacing w:after="0" w:line="259" w:lineRule="auto"/>
              <w:ind w:left="720"/>
              <w:jc w:val="left"/>
            </w:pPr>
            <w:r>
              <w:rPr>
                <w:color w:val="000000"/>
              </w:rPr>
              <w:t>SPID indication from the Core Network to gNB. [RAN3]</w:t>
            </w:r>
          </w:p>
          <w:p w14:paraId="50BEFFBA" w14:textId="77777777" w:rsidR="007045D4" w:rsidRDefault="00000000">
            <w:pPr>
              <w:widowControl/>
              <w:numPr>
                <w:ilvl w:val="0"/>
                <w:numId w:val="3"/>
              </w:numPr>
              <w:pBdr>
                <w:top w:val="nil"/>
                <w:left w:val="nil"/>
                <w:bottom w:val="nil"/>
                <w:right w:val="nil"/>
                <w:between w:val="nil"/>
              </w:pBdr>
              <w:spacing w:after="0" w:line="259" w:lineRule="auto"/>
              <w:ind w:left="720"/>
              <w:jc w:val="left"/>
            </w:pPr>
            <w:r>
              <w:rPr>
                <w:color w:val="000000"/>
              </w:rPr>
              <w:t xml:space="preserve">N2-NGAP indication for ‘2Rx non-REDCAP XR devices’ from gNB to Core Network to </w:t>
            </w:r>
            <w:proofErr w:type="gramStart"/>
            <w:r>
              <w:rPr>
                <w:color w:val="000000"/>
              </w:rPr>
              <w:t>take action</w:t>
            </w:r>
            <w:proofErr w:type="gramEnd"/>
            <w:r>
              <w:rPr>
                <w:color w:val="000000"/>
              </w:rPr>
              <w:t xml:space="preserve"> based on operator policy. [RAN3]  </w:t>
            </w:r>
          </w:p>
          <w:p w14:paraId="4A655AD6" w14:textId="77777777" w:rsidR="007045D4" w:rsidRDefault="007045D4">
            <w:pPr>
              <w:pBdr>
                <w:top w:val="nil"/>
                <w:left w:val="nil"/>
                <w:bottom w:val="nil"/>
                <w:right w:val="nil"/>
                <w:between w:val="nil"/>
              </w:pBdr>
              <w:spacing w:after="120"/>
              <w:ind w:left="880"/>
              <w:rPr>
                <w:color w:val="000000"/>
              </w:rPr>
            </w:pPr>
          </w:p>
          <w:p w14:paraId="2D5A9C89" w14:textId="77777777" w:rsidR="007045D4" w:rsidRDefault="00000000">
            <w:pPr>
              <w:widowControl/>
              <w:numPr>
                <w:ilvl w:val="0"/>
                <w:numId w:val="2"/>
              </w:numPr>
              <w:pBdr>
                <w:top w:val="nil"/>
                <w:left w:val="nil"/>
                <w:bottom w:val="nil"/>
                <w:right w:val="nil"/>
                <w:between w:val="nil"/>
              </w:pBdr>
              <w:spacing w:after="0" w:line="259" w:lineRule="auto"/>
              <w:ind w:left="360"/>
              <w:jc w:val="left"/>
            </w:pPr>
            <w:r>
              <w:rPr>
                <w:b/>
                <w:color w:val="000000"/>
                <w:u w:val="single"/>
              </w:rPr>
              <w:t>Task RAN4</w:t>
            </w:r>
            <w:r>
              <w:rPr>
                <w:color w:val="000000"/>
              </w:rPr>
              <w:t xml:space="preserve"> to develop Release-18 draft CR(s) to RAN#103 for ‘2Rx non-REDCAP XR devices’:</w:t>
            </w:r>
          </w:p>
          <w:p w14:paraId="0833F09D" w14:textId="77777777" w:rsidR="007045D4" w:rsidRDefault="00000000">
            <w:pPr>
              <w:widowControl/>
              <w:numPr>
                <w:ilvl w:val="0"/>
                <w:numId w:val="3"/>
              </w:numPr>
              <w:pBdr>
                <w:top w:val="nil"/>
                <w:left w:val="nil"/>
                <w:bottom w:val="nil"/>
                <w:right w:val="nil"/>
                <w:between w:val="nil"/>
              </w:pBdr>
              <w:spacing w:after="0" w:line="259" w:lineRule="auto"/>
              <w:ind w:left="720"/>
              <w:jc w:val="left"/>
              <w:rPr>
                <w:color w:val="000000"/>
              </w:rPr>
            </w:pPr>
            <w:r>
              <w:rPr>
                <w:color w:val="000000"/>
              </w:rPr>
              <w:t>Capture the definition of 2Rx non-REDCAP XR devices in [38.101-1] using the definition from RAN#101 (c.f. RP-232657)</w:t>
            </w:r>
          </w:p>
          <w:p w14:paraId="4BA27D64" w14:textId="77777777" w:rsidR="007045D4" w:rsidRDefault="00000000">
            <w:pPr>
              <w:widowControl/>
              <w:numPr>
                <w:ilvl w:val="0"/>
                <w:numId w:val="3"/>
              </w:numPr>
              <w:pBdr>
                <w:top w:val="nil"/>
                <w:left w:val="nil"/>
                <w:bottom w:val="nil"/>
                <w:right w:val="nil"/>
                <w:between w:val="nil"/>
              </w:pBdr>
              <w:spacing w:after="0" w:line="259" w:lineRule="auto"/>
              <w:ind w:left="720"/>
              <w:jc w:val="left"/>
              <w:rPr>
                <w:color w:val="000000"/>
              </w:rPr>
            </w:pPr>
            <w:r>
              <w:rPr>
                <w:color w:val="000000"/>
              </w:rPr>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33B154AC" w14:textId="77777777" w:rsidR="007045D4" w:rsidRDefault="007045D4">
            <w:pPr>
              <w:pBdr>
                <w:top w:val="nil"/>
                <w:left w:val="nil"/>
                <w:bottom w:val="nil"/>
                <w:right w:val="nil"/>
                <w:between w:val="nil"/>
              </w:pBdr>
              <w:spacing w:after="120"/>
              <w:ind w:left="880"/>
              <w:rPr>
                <w:color w:val="000000"/>
              </w:rPr>
            </w:pPr>
          </w:p>
          <w:p w14:paraId="350A212D" w14:textId="77777777" w:rsidR="007045D4" w:rsidRDefault="00000000">
            <w:pPr>
              <w:widowControl/>
              <w:numPr>
                <w:ilvl w:val="0"/>
                <w:numId w:val="2"/>
              </w:numPr>
              <w:pBdr>
                <w:top w:val="nil"/>
                <w:left w:val="nil"/>
                <w:bottom w:val="nil"/>
                <w:right w:val="nil"/>
                <w:between w:val="nil"/>
              </w:pBdr>
              <w:spacing w:after="0" w:line="259" w:lineRule="auto"/>
              <w:ind w:left="360"/>
              <w:jc w:val="left"/>
            </w:pPr>
            <w:r>
              <w:rPr>
                <w:b/>
                <w:color w:val="000000"/>
                <w:u w:val="single"/>
              </w:rPr>
              <w:t>TSG-RAN#103 in March:</w:t>
            </w:r>
            <w:r>
              <w:rPr>
                <w:color w:val="000000"/>
              </w:rPr>
              <w:t xml:space="preserve"> </w:t>
            </w:r>
          </w:p>
          <w:p w14:paraId="60A79B41" w14:textId="77777777" w:rsidR="007045D4" w:rsidRDefault="00000000">
            <w:pPr>
              <w:widowControl/>
              <w:numPr>
                <w:ilvl w:val="0"/>
                <w:numId w:val="4"/>
              </w:numPr>
              <w:pBdr>
                <w:top w:val="nil"/>
                <w:left w:val="nil"/>
                <w:bottom w:val="nil"/>
                <w:right w:val="nil"/>
                <w:between w:val="nil"/>
              </w:pBdr>
              <w:spacing w:after="0" w:line="259" w:lineRule="auto"/>
              <w:jc w:val="left"/>
            </w:pPr>
            <w:r>
              <w:rPr>
                <w:color w:val="000000"/>
              </w:rPr>
              <w:t>Consider approving the draft CRs from RAN2, RAN3 and RAN4 for Release-18</w:t>
            </w:r>
          </w:p>
          <w:p w14:paraId="18FBF9A3" w14:textId="77777777" w:rsidR="007045D4" w:rsidRDefault="00000000">
            <w:pPr>
              <w:widowControl/>
              <w:numPr>
                <w:ilvl w:val="0"/>
                <w:numId w:val="4"/>
              </w:numPr>
              <w:pBdr>
                <w:top w:val="nil"/>
                <w:left w:val="nil"/>
                <w:bottom w:val="nil"/>
                <w:right w:val="nil"/>
                <w:between w:val="nil"/>
              </w:pBdr>
              <w:spacing w:after="0" w:line="259" w:lineRule="auto"/>
              <w:jc w:val="left"/>
            </w:pPr>
            <w:r>
              <w:rPr>
                <w:color w:val="000000"/>
              </w:rPr>
              <w:t xml:space="preserve">Consider approving Release-19 work to be conducted on detailed OTA work for ‘2Rx non-REDCAP XR </w:t>
            </w:r>
            <w:proofErr w:type="gramStart"/>
            <w:r>
              <w:rPr>
                <w:color w:val="000000"/>
              </w:rPr>
              <w:t>devices’</w:t>
            </w:r>
            <w:proofErr w:type="gramEnd"/>
            <w:r>
              <w:rPr>
                <w:color w:val="000000"/>
              </w:rPr>
              <w:t>.</w:t>
            </w:r>
          </w:p>
          <w:p w14:paraId="15A4A0B5" w14:textId="77777777" w:rsidR="007045D4" w:rsidRDefault="00000000">
            <w:pPr>
              <w:widowControl/>
              <w:numPr>
                <w:ilvl w:val="0"/>
                <w:numId w:val="4"/>
              </w:numPr>
              <w:pBdr>
                <w:top w:val="nil"/>
                <w:left w:val="nil"/>
                <w:bottom w:val="nil"/>
                <w:right w:val="nil"/>
                <w:between w:val="nil"/>
              </w:pBdr>
              <w:spacing w:after="160" w:line="259" w:lineRule="auto"/>
              <w:jc w:val="left"/>
            </w:pPr>
            <w:r>
              <w:rPr>
                <w:color w:val="000000"/>
              </w:rPr>
              <w:t xml:space="preserve">Points 1) and 2) represent a package, each one is dependent on the other moving forward.  </w:t>
            </w:r>
          </w:p>
        </w:tc>
      </w:tr>
    </w:tbl>
    <w:p w14:paraId="4D0F8FC6" w14:textId="77777777" w:rsidR="007045D4" w:rsidRDefault="00000000">
      <w:r>
        <w:t xml:space="preserve"> </w:t>
      </w:r>
    </w:p>
    <w:p w14:paraId="690B7DDD" w14:textId="77777777" w:rsidR="007045D4" w:rsidRDefault="00000000">
      <w:r>
        <w:t xml:space="preserve">In this paper, we provide OTA performance considerations of 2Rx non-RedCap XR devices. </w:t>
      </w:r>
    </w:p>
    <w:p w14:paraId="78E86671" w14:textId="77777777" w:rsidR="007045D4" w:rsidRDefault="00000000">
      <w:pPr>
        <w:pStyle w:val="1"/>
        <w:numPr>
          <w:ilvl w:val="0"/>
          <w:numId w:val="8"/>
        </w:numPr>
        <w:spacing w:before="240"/>
        <w:ind w:left="270"/>
      </w:pPr>
      <w:bookmarkStart w:id="1" w:name="_heading=h.811uh4fp0bc6" w:colFirst="0" w:colLast="0"/>
      <w:bookmarkEnd w:id="1"/>
      <w:r>
        <w:t>OTA Performance Considerations of XR Devices</w:t>
      </w:r>
    </w:p>
    <w:p w14:paraId="06AEF11E" w14:textId="77777777" w:rsidR="007045D4" w:rsidRDefault="00000000">
      <w:r>
        <w:rPr>
          <w:noProof/>
        </w:rPr>
        <w:lastRenderedPageBreak/>
        <w:drawing>
          <wp:inline distT="114300" distB="114300" distL="114300" distR="114300" wp14:anchorId="72B10533" wp14:editId="0C215FA1">
            <wp:extent cx="5731200" cy="3086100"/>
            <wp:effectExtent l="0" t="0" r="0" b="0"/>
            <wp:docPr id="151855653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5731200" cy="3086100"/>
                    </a:xfrm>
                    <a:prstGeom prst="rect">
                      <a:avLst/>
                    </a:prstGeom>
                    <a:ln/>
                  </pic:spPr>
                </pic:pic>
              </a:graphicData>
            </a:graphic>
          </wp:inline>
        </w:drawing>
      </w:r>
    </w:p>
    <w:p w14:paraId="0064CD51" w14:textId="77777777" w:rsidR="007045D4" w:rsidRDefault="00000000">
      <w:pPr>
        <w:spacing w:before="120"/>
        <w:jc w:val="center"/>
        <w:rPr>
          <w:rFonts w:ascii="Arial" w:eastAsia="Arial" w:hAnsi="Arial" w:cs="Arial"/>
          <w:b/>
        </w:rPr>
      </w:pPr>
      <w:r>
        <w:rPr>
          <w:rFonts w:ascii="Arial" w:eastAsia="Arial" w:hAnsi="Arial" w:cs="Arial"/>
          <w:b/>
        </w:rPr>
        <w:t xml:space="preserve">Figure 1 Example of AR glasses with Possible 5G Antenna Placement </w:t>
      </w:r>
    </w:p>
    <w:p w14:paraId="36253F7E" w14:textId="77777777" w:rsidR="007045D4" w:rsidRDefault="00000000">
      <w:pPr>
        <w:spacing w:before="240" w:after="240"/>
        <w:jc w:val="left"/>
      </w:pPr>
      <w:r>
        <w:t>As it is shown in our previous contribution [3], there are various key components of the XR device to enable XR immersive experiences as illustrated in Figure 1 with an example of AR glasses (Project Aria [4][5]). Furthermore, to support immersive XR experiences, the display can be needed which requires further hardware and SW processing to enable. Noting that Project Aria is a research device, there can be further design constraints that limit the remaining usable volume for 5G NR antennas to make AR glasses commercially compelling and socially acceptable. Therefore, 4Rx antennas are not possible for XR glasses. The possible 2Rx antenna placement can be on the temple arm or frame as illustrated in [6]. It is worth pointing out that comparing the XR glasses and smartphones, there are several advantages to the XR glasses in terms of antenna design and properties elaborated below:</w:t>
      </w:r>
    </w:p>
    <w:p w14:paraId="4E019EEA" w14:textId="77777777" w:rsidR="007045D4" w:rsidRDefault="00000000">
      <w:pPr>
        <w:numPr>
          <w:ilvl w:val="0"/>
          <w:numId w:val="7"/>
        </w:numPr>
        <w:spacing w:before="240" w:after="0"/>
        <w:jc w:val="left"/>
      </w:pPr>
      <w:r>
        <w:t>Considering the 3-D dimension and placement of 5G antennas on the XR glasses, the two antennas can be designed with better isolation and less leakage between them. Hence, it can lead to lower correlation between 2 Rx antennas which provides substantial gains in spatial multiplexing capabilities. The sizable throughput gain of low correlation vs. high correlation can be seen from section 6.4.2 2Rx requirements in [6].</w:t>
      </w:r>
    </w:p>
    <w:p w14:paraId="2F3A4C94" w14:textId="77777777" w:rsidR="007045D4" w:rsidRDefault="00000000">
      <w:pPr>
        <w:numPr>
          <w:ilvl w:val="0"/>
          <w:numId w:val="7"/>
        </w:numPr>
        <w:spacing w:after="0"/>
        <w:jc w:val="left"/>
      </w:pPr>
      <w:r>
        <w:t>There is a bigger space/distance between the potential antenna locations of XR glasses and the human head compared to the smartphones that are often held right next to the human ear for phone calls. Thus, XR glasses can have less stringent SAR backoff requirements compared to smartphones. As it is addressed in [7], “Uplink link budget is the bottleneck to achieve network capacity as quantified by satisfied XR UEs.” Less SAR backoff is critical to improving XR UL performance.</w:t>
      </w:r>
    </w:p>
    <w:p w14:paraId="6A988DE0" w14:textId="77777777" w:rsidR="007045D4" w:rsidRDefault="00000000">
      <w:pPr>
        <w:numPr>
          <w:ilvl w:val="0"/>
          <w:numId w:val="7"/>
        </w:numPr>
        <w:spacing w:after="240"/>
        <w:jc w:val="left"/>
      </w:pPr>
      <w:r>
        <w:t>The XR glasses are naturally wearable devices on the human face supported by the nose bridge. On the other hand, the smartphone is usually held by human hands when in use which can largely impair the antenna efficiency or correlation of a subset of antennas out of all 4 receive antennas. In the extreme cases, some of the antennas can become unusable due to heavily impacted antenna efficiency.</w:t>
      </w:r>
    </w:p>
    <w:p w14:paraId="7987A87B" w14:textId="77777777" w:rsidR="007045D4" w:rsidRDefault="00000000">
      <w:pPr>
        <w:spacing w:before="240" w:after="240"/>
        <w:jc w:val="left"/>
      </w:pPr>
      <w:r>
        <w:t>Therefore, we have the following observation:</w:t>
      </w:r>
    </w:p>
    <w:p w14:paraId="64577C47" w14:textId="77777777" w:rsidR="007045D4" w:rsidRDefault="00000000">
      <w:pPr>
        <w:spacing w:before="240" w:after="240"/>
        <w:jc w:val="left"/>
      </w:pPr>
      <w:r>
        <w:rPr>
          <w:b/>
        </w:rPr>
        <w:t>Observation 1</w:t>
      </w:r>
      <w:r>
        <w:t>: The antenna design and properties of the XR glasses can have several advantages compared to smartphone antennas:</w:t>
      </w:r>
    </w:p>
    <w:p w14:paraId="0B47AAE7" w14:textId="77777777" w:rsidR="007045D4" w:rsidRDefault="00000000">
      <w:pPr>
        <w:numPr>
          <w:ilvl w:val="0"/>
          <w:numId w:val="5"/>
        </w:numPr>
        <w:spacing w:before="240" w:after="0"/>
        <w:jc w:val="left"/>
      </w:pPr>
      <w:r>
        <w:t xml:space="preserve">Due to the 3-D dimension and placement of 5G antennas on the temple arm or front frame, </w:t>
      </w:r>
      <w:r>
        <w:lastRenderedPageBreak/>
        <w:t>the two antennas of the glasses can be designed with less correlation that provides gains in rank order.</w:t>
      </w:r>
    </w:p>
    <w:p w14:paraId="5774241A" w14:textId="77777777" w:rsidR="007045D4" w:rsidRDefault="00000000">
      <w:pPr>
        <w:numPr>
          <w:ilvl w:val="0"/>
          <w:numId w:val="5"/>
        </w:numPr>
        <w:spacing w:after="0"/>
        <w:jc w:val="left"/>
      </w:pPr>
      <w:r>
        <w:t>Due to bigger space between the potential antenna placement on the XR glasses to the human head compared to smartphones when held next to the ear, the SAR requirements of the glasses can be less stringent compared to smartphones.</w:t>
      </w:r>
    </w:p>
    <w:p w14:paraId="1D99DE87" w14:textId="77777777" w:rsidR="007045D4" w:rsidRDefault="00000000">
      <w:pPr>
        <w:numPr>
          <w:ilvl w:val="0"/>
          <w:numId w:val="5"/>
        </w:numPr>
        <w:spacing w:after="240"/>
        <w:jc w:val="left"/>
      </w:pPr>
      <w:r>
        <w:t>The XR glasses are naturally wearables and won’t suffer from the antenna efficiency or correlation loss due to hand-held usage as smartphones.</w:t>
      </w:r>
    </w:p>
    <w:p w14:paraId="32FA95CB" w14:textId="77777777" w:rsidR="007045D4" w:rsidRDefault="00000000">
      <w:pPr>
        <w:spacing w:before="240" w:after="240"/>
        <w:jc w:val="left"/>
      </w:pPr>
      <w:r>
        <w:t>Based on the above observation, we make the following proposal.</w:t>
      </w:r>
    </w:p>
    <w:p w14:paraId="525161CA" w14:textId="77777777" w:rsidR="007045D4" w:rsidRDefault="00000000">
      <w:pPr>
        <w:jc w:val="left"/>
      </w:pPr>
      <w:r>
        <w:rPr>
          <w:b/>
        </w:rPr>
        <w:t xml:space="preserve">Proposal 1: </w:t>
      </w:r>
      <w:r>
        <w:t xml:space="preserve">The several key advantages of antenna design and properties of the XR glasses compared to smartphone antennas provide natural mitigation to performance impact of 2Rx vs 4Rx. The performance of XR glasses can be expected to be on-par or outperform compared with a pair of antennas of 4Rx smartphones. The antenna advantages of XR glasses include lower antenna correlation, less uplink SAR backoff, and no impact from antenna loss due to hand-held usage. </w:t>
      </w:r>
    </w:p>
    <w:p w14:paraId="17216272" w14:textId="77777777" w:rsidR="007045D4" w:rsidRDefault="007045D4"/>
    <w:p w14:paraId="76CA5DA4" w14:textId="77777777" w:rsidR="007045D4" w:rsidRDefault="00000000">
      <w:pPr>
        <w:pStyle w:val="1"/>
        <w:numPr>
          <w:ilvl w:val="0"/>
          <w:numId w:val="8"/>
        </w:numPr>
        <w:spacing w:before="240"/>
        <w:ind w:left="270" w:hanging="270"/>
        <w:jc w:val="left"/>
      </w:pPr>
      <w:r>
        <w:t>Review of UE TRP and TRS Requirements and Test Methodologies for FR1</w:t>
      </w:r>
    </w:p>
    <w:p w14:paraId="4C775F8D" w14:textId="77777777" w:rsidR="007045D4" w:rsidRDefault="00000000">
      <w:pPr>
        <w:tabs>
          <w:tab w:val="left" w:pos="1985"/>
          <w:tab w:val="left" w:pos="7920"/>
        </w:tabs>
        <w:spacing w:after="0"/>
      </w:pPr>
      <w:r>
        <w:t xml:space="preserve">In last RAN plenary #102 meeting, the core part of Rel-18 FR1 TRP TRS WI was completed [8]. For the smart phone type and RedCap UE, RAN4 defined the TRP/TRS test methodology for each NR band. </w:t>
      </w:r>
    </w:p>
    <w:p w14:paraId="1A99918C" w14:textId="77777777" w:rsidR="007045D4" w:rsidRDefault="007045D4">
      <w:pPr>
        <w:rPr>
          <w:highlight w:val="yellow"/>
        </w:rPr>
      </w:pPr>
    </w:p>
    <w:p w14:paraId="10715BDD" w14:textId="77777777" w:rsidR="007045D4" w:rsidRDefault="00000000">
      <w:pPr>
        <w:numPr>
          <w:ilvl w:val="0"/>
          <w:numId w:val="6"/>
        </w:numPr>
        <w:spacing w:after="0"/>
        <w:jc w:val="left"/>
      </w:pPr>
      <w:r>
        <w:t>UE type: Smartphone, wearable Redcap UE, Tablet, Laptop embedded equipment (LEE) and Laptop mounted equipment (LME).</w:t>
      </w:r>
    </w:p>
    <w:p w14:paraId="67DDE302" w14:textId="77777777" w:rsidR="007045D4" w:rsidRDefault="00000000">
      <w:pPr>
        <w:numPr>
          <w:ilvl w:val="0"/>
          <w:numId w:val="6"/>
        </w:numPr>
        <w:spacing w:after="0"/>
        <w:jc w:val="left"/>
      </w:pPr>
      <w:r>
        <w:t>Usage scenarios:</w:t>
      </w:r>
    </w:p>
    <w:p w14:paraId="465AA6A2" w14:textId="77777777" w:rsidR="007045D4" w:rsidRDefault="00000000">
      <w:pPr>
        <w:numPr>
          <w:ilvl w:val="1"/>
          <w:numId w:val="6"/>
        </w:numPr>
        <w:spacing w:after="0"/>
        <w:jc w:val="left"/>
      </w:pPr>
      <w:r>
        <w:t xml:space="preserve">Talk mode using head &amp; hand phantom for narrow and wide </w:t>
      </w:r>
      <w:proofErr w:type="gramStart"/>
      <w:r>
        <w:t>phones</w:t>
      </w:r>
      <w:proofErr w:type="gramEnd"/>
    </w:p>
    <w:p w14:paraId="1EB765B4" w14:textId="77777777" w:rsidR="007045D4" w:rsidRDefault="00000000">
      <w:pPr>
        <w:numPr>
          <w:ilvl w:val="1"/>
          <w:numId w:val="6"/>
        </w:numPr>
        <w:spacing w:after="0"/>
        <w:jc w:val="left"/>
      </w:pPr>
      <w:r>
        <w:t>Browsing mode using hand phantom for narrow and wide phones</w:t>
      </w:r>
    </w:p>
    <w:p w14:paraId="7CC55D7D" w14:textId="77777777" w:rsidR="007045D4" w:rsidRDefault="00000000">
      <w:pPr>
        <w:numPr>
          <w:ilvl w:val="1"/>
          <w:numId w:val="6"/>
        </w:numPr>
        <w:spacing w:after="0"/>
        <w:jc w:val="left"/>
      </w:pPr>
      <w:r>
        <w:t xml:space="preserve">Using forearm phantom for wrist-worn devices. For wrist-worn Redcap devices, the forearm phantom is the </w:t>
      </w:r>
      <w:proofErr w:type="gramStart"/>
      <w:r>
        <w:t>first priority</w:t>
      </w:r>
      <w:proofErr w:type="gramEnd"/>
      <w:r>
        <w:t>.</w:t>
      </w:r>
    </w:p>
    <w:p w14:paraId="3AA07FF8" w14:textId="77777777" w:rsidR="007045D4" w:rsidRDefault="00000000">
      <w:pPr>
        <w:numPr>
          <w:ilvl w:val="1"/>
          <w:numId w:val="6"/>
        </w:numPr>
        <w:spacing w:after="0"/>
        <w:jc w:val="left"/>
      </w:pPr>
      <w:r>
        <w:t xml:space="preserve"> Free Space is used for devices not used in above-mentioned </w:t>
      </w:r>
      <w:proofErr w:type="gramStart"/>
      <w:r>
        <w:t>scenarios,</w:t>
      </w:r>
      <w:proofErr w:type="gramEnd"/>
      <w:r>
        <w:t xml:space="preserve"> other phantoms are not precluded for wearable devices</w:t>
      </w:r>
    </w:p>
    <w:p w14:paraId="3A5A14CD" w14:textId="77777777" w:rsidR="007045D4" w:rsidRDefault="00000000">
      <w:pPr>
        <w:numPr>
          <w:ilvl w:val="0"/>
          <w:numId w:val="6"/>
        </w:numPr>
        <w:spacing w:after="0"/>
        <w:jc w:val="left"/>
      </w:pPr>
      <w:r>
        <w:t>Test parameters:</w:t>
      </w:r>
    </w:p>
    <w:p w14:paraId="2CDCCFCB" w14:textId="77777777" w:rsidR="007045D4" w:rsidRDefault="00000000">
      <w:pPr>
        <w:numPr>
          <w:ilvl w:val="1"/>
          <w:numId w:val="6"/>
        </w:numPr>
        <w:spacing w:after="0"/>
        <w:jc w:val="left"/>
      </w:pPr>
      <w:r>
        <w:t xml:space="preserve">Test parameters for each NR band and RedCap band have been </w:t>
      </w:r>
      <w:proofErr w:type="gramStart"/>
      <w:r>
        <w:t>defined</w:t>
      </w:r>
      <w:proofErr w:type="gramEnd"/>
    </w:p>
    <w:p w14:paraId="2E1C77FD" w14:textId="77777777" w:rsidR="007045D4" w:rsidRDefault="00000000">
      <w:pPr>
        <w:numPr>
          <w:ilvl w:val="0"/>
          <w:numId w:val="6"/>
        </w:numPr>
        <w:spacing w:after="0"/>
        <w:jc w:val="left"/>
      </w:pPr>
      <w:r>
        <w:t>UE positioning guidelines:</w:t>
      </w:r>
    </w:p>
    <w:p w14:paraId="1533E534" w14:textId="77777777" w:rsidR="007045D4" w:rsidRDefault="00000000">
      <w:pPr>
        <w:numPr>
          <w:ilvl w:val="1"/>
          <w:numId w:val="6"/>
        </w:numPr>
        <w:spacing w:after="0"/>
        <w:jc w:val="left"/>
      </w:pPr>
      <w:r>
        <w:t>UE positioning guidelines for Free space, Hand phantom only (Browsing mode), Head and Hand phantom (Talk Mode), Head phantom only, and Forearm phantom.</w:t>
      </w:r>
    </w:p>
    <w:p w14:paraId="02ECA987" w14:textId="77777777" w:rsidR="007045D4" w:rsidRDefault="00000000">
      <w:pPr>
        <w:numPr>
          <w:ilvl w:val="1"/>
          <w:numId w:val="6"/>
        </w:numPr>
        <w:spacing w:after="0"/>
        <w:jc w:val="left"/>
      </w:pPr>
      <w:r>
        <w:t>Coordination with CTIA on phantom related aspects, 3GPP and their Organizational Partners (ARIB, ATIS, CCSA, ETSI, TSDSI, TTA, TTC) get the permission.</w:t>
      </w:r>
    </w:p>
    <w:p w14:paraId="4C3044E8" w14:textId="77777777" w:rsidR="007045D4" w:rsidRDefault="00000000">
      <w:pPr>
        <w:numPr>
          <w:ilvl w:val="0"/>
          <w:numId w:val="6"/>
        </w:numPr>
        <w:spacing w:after="0"/>
        <w:jc w:val="left"/>
      </w:pPr>
      <w:r>
        <w:t>AC test method:</w:t>
      </w:r>
    </w:p>
    <w:p w14:paraId="72D06035" w14:textId="77777777" w:rsidR="007045D4" w:rsidRDefault="00000000">
      <w:pPr>
        <w:numPr>
          <w:ilvl w:val="1"/>
          <w:numId w:val="6"/>
        </w:numPr>
        <w:spacing w:after="0"/>
        <w:jc w:val="left"/>
      </w:pPr>
      <w:r>
        <w:t>Test setup: Single-antenna and multiple-antennas anechoic chambers</w:t>
      </w:r>
    </w:p>
    <w:p w14:paraId="3F07BFA0" w14:textId="77777777" w:rsidR="007045D4" w:rsidRDefault="00000000">
      <w:pPr>
        <w:numPr>
          <w:ilvl w:val="1"/>
          <w:numId w:val="6"/>
        </w:numPr>
        <w:spacing w:after="0"/>
        <w:jc w:val="left"/>
      </w:pPr>
      <w:r>
        <w:t>TRP TRS calibration procedure</w:t>
      </w:r>
    </w:p>
    <w:p w14:paraId="274F2608" w14:textId="77777777" w:rsidR="007045D4" w:rsidRDefault="00000000">
      <w:pPr>
        <w:numPr>
          <w:ilvl w:val="1"/>
          <w:numId w:val="6"/>
        </w:numPr>
        <w:spacing w:after="0"/>
        <w:jc w:val="left"/>
      </w:pPr>
      <w:r>
        <w:t>Ripple test procedure for 30cm and 50cm, both theta-axis and phi-axis</w:t>
      </w:r>
    </w:p>
    <w:p w14:paraId="2272D0A2" w14:textId="77777777" w:rsidR="007045D4" w:rsidRDefault="00000000">
      <w:pPr>
        <w:numPr>
          <w:ilvl w:val="1"/>
          <w:numId w:val="6"/>
        </w:numPr>
        <w:spacing w:after="0"/>
        <w:jc w:val="left"/>
      </w:pPr>
      <w:r>
        <w:t>TRP test procedure and UE configurations for 1Tx, 2Tx, and DL CA configurations</w:t>
      </w:r>
    </w:p>
    <w:p w14:paraId="29BA9485" w14:textId="77777777" w:rsidR="007045D4" w:rsidRDefault="00000000">
      <w:pPr>
        <w:numPr>
          <w:ilvl w:val="1"/>
          <w:numId w:val="6"/>
        </w:numPr>
        <w:spacing w:after="0"/>
        <w:jc w:val="left"/>
      </w:pPr>
      <w:r>
        <w:t xml:space="preserve"> TRS test procedure and UE configurations for 1Tx, 2Tx, and DL CA configurations</w:t>
      </w:r>
    </w:p>
    <w:p w14:paraId="75E07899" w14:textId="77777777" w:rsidR="007045D4" w:rsidRDefault="00000000">
      <w:pPr>
        <w:numPr>
          <w:ilvl w:val="1"/>
          <w:numId w:val="6"/>
        </w:numPr>
        <w:spacing w:after="0"/>
        <w:jc w:val="left"/>
      </w:pPr>
      <w:r>
        <w:t>Minimum measurement distance of anechoic chambers</w:t>
      </w:r>
    </w:p>
    <w:p w14:paraId="3F7F6DF5" w14:textId="77777777" w:rsidR="007045D4" w:rsidRDefault="00000000">
      <w:pPr>
        <w:numPr>
          <w:ilvl w:val="0"/>
          <w:numId w:val="6"/>
        </w:numPr>
        <w:spacing w:after="0"/>
        <w:jc w:val="left"/>
      </w:pPr>
      <w:r>
        <w:t>RC test method:</w:t>
      </w:r>
    </w:p>
    <w:p w14:paraId="16AA2AE5" w14:textId="77777777" w:rsidR="007045D4" w:rsidRDefault="00000000">
      <w:pPr>
        <w:numPr>
          <w:ilvl w:val="1"/>
          <w:numId w:val="6"/>
        </w:numPr>
        <w:spacing w:after="0"/>
        <w:jc w:val="left"/>
      </w:pPr>
      <w:r>
        <w:t>Test setup: Reverberation Chamber</w:t>
      </w:r>
    </w:p>
    <w:p w14:paraId="193C5355" w14:textId="77777777" w:rsidR="007045D4" w:rsidRDefault="00000000">
      <w:pPr>
        <w:numPr>
          <w:ilvl w:val="1"/>
          <w:numId w:val="6"/>
        </w:numPr>
        <w:spacing w:after="0"/>
        <w:jc w:val="left"/>
      </w:pPr>
      <w:r>
        <w:t xml:space="preserve"> S-parameters and power transfer functions</w:t>
      </w:r>
    </w:p>
    <w:p w14:paraId="3A55A9F0" w14:textId="77777777" w:rsidR="007045D4" w:rsidRDefault="00000000">
      <w:pPr>
        <w:numPr>
          <w:ilvl w:val="1"/>
          <w:numId w:val="6"/>
        </w:numPr>
        <w:spacing w:after="0"/>
        <w:jc w:val="left"/>
      </w:pPr>
      <w:r>
        <w:t xml:space="preserve">Chamber loading for coherence </w:t>
      </w:r>
      <w:proofErr w:type="gramStart"/>
      <w:r>
        <w:t>bandwidth</w:t>
      </w:r>
      <w:proofErr w:type="gramEnd"/>
    </w:p>
    <w:p w14:paraId="03652FA9" w14:textId="77777777" w:rsidR="007045D4" w:rsidRDefault="00000000">
      <w:pPr>
        <w:numPr>
          <w:ilvl w:val="1"/>
          <w:numId w:val="6"/>
        </w:numPr>
        <w:spacing w:after="0"/>
        <w:jc w:val="left"/>
      </w:pPr>
      <w:r>
        <w:t>Chamber spatial uniformity</w:t>
      </w:r>
    </w:p>
    <w:p w14:paraId="5BE22735" w14:textId="77777777" w:rsidR="007045D4" w:rsidRDefault="00000000">
      <w:pPr>
        <w:numPr>
          <w:ilvl w:val="1"/>
          <w:numId w:val="6"/>
        </w:numPr>
        <w:spacing w:after="0"/>
        <w:jc w:val="left"/>
      </w:pPr>
      <w:r>
        <w:t xml:space="preserve"> Calibration procedure for RC system</w:t>
      </w:r>
    </w:p>
    <w:p w14:paraId="0E06FAAB" w14:textId="77777777" w:rsidR="007045D4" w:rsidRDefault="00000000">
      <w:pPr>
        <w:numPr>
          <w:ilvl w:val="1"/>
          <w:numId w:val="6"/>
        </w:numPr>
        <w:spacing w:after="0"/>
        <w:jc w:val="left"/>
      </w:pPr>
      <w:r>
        <w:t>TRP test procedure and UE configurations for SA and EN-DC</w:t>
      </w:r>
    </w:p>
    <w:p w14:paraId="3CCB2081" w14:textId="77777777" w:rsidR="007045D4" w:rsidRDefault="00000000">
      <w:pPr>
        <w:numPr>
          <w:ilvl w:val="1"/>
          <w:numId w:val="6"/>
        </w:numPr>
        <w:spacing w:after="0"/>
        <w:jc w:val="left"/>
      </w:pPr>
      <w:r>
        <w:t>TRS test procedure and UE configurations for SA and EN-DC</w:t>
      </w:r>
    </w:p>
    <w:p w14:paraId="57AAB90C" w14:textId="77777777" w:rsidR="007045D4" w:rsidRDefault="00000000">
      <w:pPr>
        <w:numPr>
          <w:ilvl w:val="1"/>
          <w:numId w:val="6"/>
        </w:numPr>
        <w:spacing w:after="0"/>
        <w:jc w:val="left"/>
      </w:pPr>
      <w:r>
        <w:lastRenderedPageBreak/>
        <w:t>Test Volume</w:t>
      </w:r>
    </w:p>
    <w:p w14:paraId="4B89E670" w14:textId="77777777" w:rsidR="007045D4" w:rsidRDefault="00000000">
      <w:pPr>
        <w:numPr>
          <w:ilvl w:val="0"/>
          <w:numId w:val="6"/>
        </w:numPr>
        <w:spacing w:after="0"/>
        <w:jc w:val="left"/>
      </w:pPr>
      <w:r>
        <w:t>Testing time reduction methodologies:</w:t>
      </w:r>
    </w:p>
    <w:p w14:paraId="045A31CE" w14:textId="77777777" w:rsidR="007045D4" w:rsidRDefault="00000000">
      <w:pPr>
        <w:numPr>
          <w:ilvl w:val="1"/>
          <w:numId w:val="6"/>
        </w:numPr>
        <w:spacing w:after="0"/>
        <w:jc w:val="left"/>
      </w:pPr>
      <w:r>
        <w:t xml:space="preserve"> Measurement grids for Anechoic Chamber method</w:t>
      </w:r>
    </w:p>
    <w:p w14:paraId="13355A85" w14:textId="77777777" w:rsidR="007045D4" w:rsidRDefault="00000000">
      <w:pPr>
        <w:numPr>
          <w:ilvl w:val="0"/>
          <w:numId w:val="6"/>
        </w:numPr>
        <w:spacing w:after="0"/>
        <w:jc w:val="left"/>
      </w:pPr>
      <w:r>
        <w:t>Measurement uncertainty assessment:</w:t>
      </w:r>
    </w:p>
    <w:p w14:paraId="00DE5A04" w14:textId="77777777" w:rsidR="007045D4" w:rsidRDefault="00000000">
      <w:pPr>
        <w:numPr>
          <w:ilvl w:val="1"/>
          <w:numId w:val="6"/>
        </w:numPr>
        <w:spacing w:after="0"/>
        <w:jc w:val="left"/>
      </w:pPr>
      <w:r>
        <w:t>Measurement error uncertainty contribution descriptions</w:t>
      </w:r>
    </w:p>
    <w:p w14:paraId="6D2FF9AE" w14:textId="77777777" w:rsidR="007045D4" w:rsidRDefault="00000000">
      <w:pPr>
        <w:numPr>
          <w:ilvl w:val="1"/>
          <w:numId w:val="6"/>
        </w:numPr>
        <w:spacing w:after="0"/>
        <w:jc w:val="left"/>
      </w:pPr>
      <w:r>
        <w:t>AC preliminary example of uncertainty budget</w:t>
      </w:r>
    </w:p>
    <w:p w14:paraId="648A8B2F" w14:textId="77777777" w:rsidR="007045D4" w:rsidRDefault="00000000">
      <w:pPr>
        <w:numPr>
          <w:ilvl w:val="2"/>
          <w:numId w:val="6"/>
        </w:numPr>
        <w:spacing w:after="0"/>
        <w:jc w:val="left"/>
      </w:pPr>
      <w:r>
        <w:t xml:space="preserve">Expanded uncertainty for TRP hand only (browsing mode): 1.73 </w:t>
      </w:r>
      <w:proofErr w:type="gramStart"/>
      <w:r>
        <w:t>dB</w:t>
      </w:r>
      <w:proofErr w:type="gramEnd"/>
    </w:p>
    <w:p w14:paraId="320A82EF" w14:textId="77777777" w:rsidR="007045D4" w:rsidRDefault="00000000">
      <w:pPr>
        <w:numPr>
          <w:ilvl w:val="2"/>
          <w:numId w:val="6"/>
        </w:numPr>
        <w:spacing w:after="0"/>
        <w:jc w:val="left"/>
      </w:pPr>
      <w:r>
        <w:t xml:space="preserve">Expanded uncertainty for TRP Beside Head and Hand (Talk mode): 1.96 </w:t>
      </w:r>
      <w:proofErr w:type="gramStart"/>
      <w:r>
        <w:t>dB</w:t>
      </w:r>
      <w:proofErr w:type="gramEnd"/>
    </w:p>
    <w:p w14:paraId="584DE423" w14:textId="77777777" w:rsidR="007045D4" w:rsidRDefault="00000000">
      <w:pPr>
        <w:numPr>
          <w:ilvl w:val="2"/>
          <w:numId w:val="6"/>
        </w:numPr>
        <w:spacing w:after="0"/>
        <w:jc w:val="left"/>
      </w:pPr>
      <w:r>
        <w:t xml:space="preserve">Expanded uncertainty for TRP Wrist-Worn: 1.78 </w:t>
      </w:r>
      <w:proofErr w:type="gramStart"/>
      <w:r>
        <w:t>dB</w:t>
      </w:r>
      <w:proofErr w:type="gramEnd"/>
    </w:p>
    <w:p w14:paraId="3F360056" w14:textId="77777777" w:rsidR="007045D4" w:rsidRDefault="00000000">
      <w:pPr>
        <w:numPr>
          <w:ilvl w:val="2"/>
          <w:numId w:val="6"/>
        </w:numPr>
        <w:spacing w:after="0"/>
        <w:jc w:val="left"/>
      </w:pPr>
      <w:r>
        <w:t xml:space="preserve">Expanded uncertainty for TRS hand only (browsing mode): 2.13 </w:t>
      </w:r>
      <w:proofErr w:type="gramStart"/>
      <w:r>
        <w:t>dB</w:t>
      </w:r>
      <w:proofErr w:type="gramEnd"/>
    </w:p>
    <w:p w14:paraId="15B7B31E" w14:textId="77777777" w:rsidR="007045D4" w:rsidRDefault="00000000">
      <w:pPr>
        <w:numPr>
          <w:ilvl w:val="2"/>
          <w:numId w:val="6"/>
        </w:numPr>
        <w:spacing w:after="0"/>
        <w:jc w:val="left"/>
      </w:pPr>
      <w:r>
        <w:t xml:space="preserve">Expanded uncertainty for TRS Beside Head and Hand (Talk mode): 2.31 </w:t>
      </w:r>
      <w:proofErr w:type="gramStart"/>
      <w:r>
        <w:t>dB</w:t>
      </w:r>
      <w:proofErr w:type="gramEnd"/>
    </w:p>
    <w:p w14:paraId="435F5180" w14:textId="77777777" w:rsidR="007045D4" w:rsidRDefault="00000000">
      <w:pPr>
        <w:numPr>
          <w:ilvl w:val="2"/>
          <w:numId w:val="6"/>
        </w:numPr>
        <w:spacing w:after="0"/>
        <w:jc w:val="left"/>
      </w:pPr>
      <w:r>
        <w:t xml:space="preserve">Expanded uncertainty for TRS Wrist-Worn: 2.17 </w:t>
      </w:r>
      <w:proofErr w:type="gramStart"/>
      <w:r>
        <w:t>dB</w:t>
      </w:r>
      <w:proofErr w:type="gramEnd"/>
    </w:p>
    <w:p w14:paraId="3AC67FE8" w14:textId="77777777" w:rsidR="007045D4" w:rsidRDefault="00000000">
      <w:pPr>
        <w:numPr>
          <w:ilvl w:val="1"/>
          <w:numId w:val="6"/>
        </w:numPr>
        <w:spacing w:after="0"/>
        <w:jc w:val="left"/>
      </w:pPr>
      <w:r>
        <w:t>RC preliminary example of uncertainty budget</w:t>
      </w:r>
    </w:p>
    <w:p w14:paraId="6C25AA0A" w14:textId="77777777" w:rsidR="007045D4" w:rsidRDefault="00000000">
      <w:pPr>
        <w:numPr>
          <w:ilvl w:val="2"/>
          <w:numId w:val="6"/>
        </w:numPr>
        <w:spacing w:after="0"/>
        <w:jc w:val="left"/>
      </w:pPr>
      <w:r>
        <w:t xml:space="preserve">Expanded uncertainty for TRP hand only (browsing mode): 1.90 </w:t>
      </w:r>
      <w:proofErr w:type="gramStart"/>
      <w:r>
        <w:t>dB</w:t>
      </w:r>
      <w:proofErr w:type="gramEnd"/>
    </w:p>
    <w:p w14:paraId="7BF93BC3" w14:textId="77777777" w:rsidR="007045D4" w:rsidRDefault="00000000">
      <w:pPr>
        <w:numPr>
          <w:ilvl w:val="2"/>
          <w:numId w:val="6"/>
        </w:numPr>
        <w:spacing w:after="0"/>
        <w:jc w:val="left"/>
      </w:pPr>
      <w:r>
        <w:t xml:space="preserve">Expanded uncertainty for TRP Beside Head and Hand (Talk mode): 2.08 </w:t>
      </w:r>
      <w:proofErr w:type="gramStart"/>
      <w:r>
        <w:t>dB</w:t>
      </w:r>
      <w:proofErr w:type="gramEnd"/>
    </w:p>
    <w:p w14:paraId="2376AB0B" w14:textId="77777777" w:rsidR="007045D4" w:rsidRDefault="00000000">
      <w:pPr>
        <w:numPr>
          <w:ilvl w:val="2"/>
          <w:numId w:val="6"/>
        </w:numPr>
        <w:spacing w:after="0"/>
        <w:jc w:val="left"/>
      </w:pPr>
      <w:r>
        <w:t xml:space="preserve">Expanded uncertainty for TRS hand only (browsing mode): 2.28 </w:t>
      </w:r>
      <w:proofErr w:type="gramStart"/>
      <w:r>
        <w:t>dB</w:t>
      </w:r>
      <w:proofErr w:type="gramEnd"/>
    </w:p>
    <w:p w14:paraId="1A8C7A93" w14:textId="77777777" w:rsidR="007045D4" w:rsidRDefault="00000000">
      <w:pPr>
        <w:numPr>
          <w:ilvl w:val="2"/>
          <w:numId w:val="6"/>
        </w:numPr>
        <w:spacing w:after="0"/>
        <w:jc w:val="left"/>
      </w:pPr>
      <w:r>
        <w:t xml:space="preserve">Expanded uncertainty for TRS Beside Head and Hand (Talk mode): 2.43 </w:t>
      </w:r>
      <w:proofErr w:type="gramStart"/>
      <w:r>
        <w:t>dB</w:t>
      </w:r>
      <w:proofErr w:type="gramEnd"/>
    </w:p>
    <w:p w14:paraId="1A470803" w14:textId="77777777" w:rsidR="007045D4" w:rsidRDefault="00000000">
      <w:pPr>
        <w:numPr>
          <w:ilvl w:val="0"/>
          <w:numId w:val="6"/>
        </w:numPr>
        <w:spacing w:after="0"/>
        <w:jc w:val="left"/>
      </w:pPr>
      <w:r>
        <w:t>Test phantom definition:</w:t>
      </w:r>
    </w:p>
    <w:p w14:paraId="320B0DD1" w14:textId="77777777" w:rsidR="007045D4" w:rsidRDefault="00000000">
      <w:pPr>
        <w:numPr>
          <w:ilvl w:val="1"/>
          <w:numId w:val="6"/>
        </w:numPr>
        <w:spacing w:after="0"/>
        <w:jc w:val="left"/>
      </w:pPr>
      <w:r>
        <w:t>PDA Grip Hand</w:t>
      </w:r>
    </w:p>
    <w:p w14:paraId="6D1DE3A3" w14:textId="77777777" w:rsidR="007045D4" w:rsidRDefault="00000000">
      <w:pPr>
        <w:numPr>
          <w:ilvl w:val="1"/>
          <w:numId w:val="6"/>
        </w:numPr>
        <w:spacing w:after="0"/>
        <w:jc w:val="left"/>
      </w:pPr>
      <w:r>
        <w:t>Wide Grip Hand</w:t>
      </w:r>
    </w:p>
    <w:p w14:paraId="2EB2E6D1" w14:textId="77777777" w:rsidR="007045D4" w:rsidRDefault="00000000">
      <w:pPr>
        <w:numPr>
          <w:ilvl w:val="1"/>
          <w:numId w:val="6"/>
        </w:numPr>
        <w:spacing w:after="0"/>
        <w:jc w:val="left"/>
      </w:pPr>
      <w:r>
        <w:t xml:space="preserve"> Head Phantom</w:t>
      </w:r>
    </w:p>
    <w:p w14:paraId="204DAA7B" w14:textId="77777777" w:rsidR="007045D4" w:rsidRDefault="00000000">
      <w:pPr>
        <w:numPr>
          <w:ilvl w:val="1"/>
          <w:numId w:val="6"/>
        </w:numPr>
        <w:spacing w:after="0"/>
        <w:jc w:val="left"/>
      </w:pPr>
      <w:r>
        <w:t>Forearm Phantom</w:t>
      </w:r>
    </w:p>
    <w:p w14:paraId="5E920042" w14:textId="77777777" w:rsidR="007045D4" w:rsidRDefault="00000000">
      <w:pPr>
        <w:numPr>
          <w:ilvl w:val="0"/>
          <w:numId w:val="6"/>
        </w:numPr>
        <w:spacing w:after="0"/>
        <w:jc w:val="left"/>
      </w:pPr>
      <w:r>
        <w:t>Environmental requirements:</w:t>
      </w:r>
    </w:p>
    <w:p w14:paraId="2220BA12" w14:textId="77777777" w:rsidR="007045D4" w:rsidRDefault="00000000">
      <w:pPr>
        <w:numPr>
          <w:ilvl w:val="1"/>
          <w:numId w:val="6"/>
        </w:numPr>
        <w:spacing w:after="0"/>
        <w:jc w:val="left"/>
      </w:pPr>
      <w:r>
        <w:t>Room temperature with the DUT operated in stand-alone battery powered mode.</w:t>
      </w:r>
    </w:p>
    <w:p w14:paraId="5C8F1310" w14:textId="77777777" w:rsidR="007045D4" w:rsidRDefault="007045D4">
      <w:pPr>
        <w:spacing w:after="0"/>
        <w:jc w:val="left"/>
      </w:pPr>
    </w:p>
    <w:p w14:paraId="77DB346F" w14:textId="77777777" w:rsidR="007045D4" w:rsidRDefault="00000000">
      <w:pPr>
        <w:spacing w:after="0"/>
        <w:jc w:val="left"/>
      </w:pPr>
      <w:r>
        <w:t>Take RC test as an example, the test conditions, UE configurations and test procedure is the following [9]:</w:t>
      </w:r>
    </w:p>
    <w:p w14:paraId="2F778E8C" w14:textId="77777777" w:rsidR="007045D4" w:rsidRDefault="007045D4">
      <w:pPr>
        <w:spacing w:after="0"/>
        <w:jc w:val="left"/>
      </w:pPr>
    </w:p>
    <w:tbl>
      <w:tblPr>
        <w:tblStyle w:val="61"/>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045D4" w14:paraId="7E1D7ABF" w14:textId="77777777">
        <w:tc>
          <w:tcPr>
            <w:tcW w:w="9029" w:type="dxa"/>
            <w:shd w:val="clear" w:color="auto" w:fill="auto"/>
            <w:tcMar>
              <w:top w:w="100" w:type="dxa"/>
              <w:left w:w="100" w:type="dxa"/>
              <w:bottom w:w="100" w:type="dxa"/>
              <w:right w:w="100" w:type="dxa"/>
            </w:tcMar>
          </w:tcPr>
          <w:p w14:paraId="18A44D08" w14:textId="77777777" w:rsidR="007045D4" w:rsidRDefault="00000000">
            <w:pPr>
              <w:pStyle w:val="3"/>
              <w:spacing w:before="280" w:after="80" w:line="254" w:lineRule="auto"/>
              <w:jc w:val="left"/>
              <w:rPr>
                <w:b/>
              </w:rPr>
            </w:pPr>
            <w:bookmarkStart w:id="2" w:name="_heading=h.i7w6li9tnvfn" w:colFirst="0" w:colLast="0"/>
            <w:bookmarkEnd w:id="2"/>
            <w:r>
              <w:rPr>
                <w:b/>
              </w:rPr>
              <w:t xml:space="preserve">8.6.1   </w:t>
            </w:r>
            <w:r>
              <w:rPr>
                <w:b/>
              </w:rPr>
              <w:tab/>
              <w:t>TRS for SA and EN-DC</w:t>
            </w:r>
          </w:p>
          <w:p w14:paraId="722BD9E9" w14:textId="77777777" w:rsidR="007045D4" w:rsidRDefault="00000000">
            <w:pPr>
              <w:pStyle w:val="4"/>
              <w:keepNext w:val="0"/>
              <w:spacing w:after="40" w:line="254" w:lineRule="auto"/>
              <w:jc w:val="left"/>
              <w:rPr>
                <w:sz w:val="22"/>
                <w:szCs w:val="22"/>
              </w:rPr>
            </w:pPr>
            <w:bookmarkStart w:id="3" w:name="_heading=h.qgw8f1wimo18" w:colFirst="0" w:colLast="0"/>
            <w:bookmarkEnd w:id="3"/>
            <w:r>
              <w:rPr>
                <w:sz w:val="22"/>
                <w:szCs w:val="22"/>
              </w:rPr>
              <w:t xml:space="preserve">8.6.1.1      </w:t>
            </w:r>
            <w:r>
              <w:rPr>
                <w:sz w:val="22"/>
                <w:szCs w:val="22"/>
              </w:rPr>
              <w:tab/>
              <w:t>Test conditions</w:t>
            </w:r>
          </w:p>
          <w:p w14:paraId="1753ADB8" w14:textId="77777777" w:rsidR="007045D4" w:rsidRDefault="00000000">
            <w:pPr>
              <w:spacing w:after="160" w:line="254" w:lineRule="auto"/>
              <w:jc w:val="left"/>
            </w:pPr>
            <w:r>
              <w:t>The TRS of the DUT is based on searching for the lowest power received by UE for a discrete number of field combinations in the chamber. The power received by the UE at each discrete field combination that provides a BER (or BLER) which is better than the specified target BER/BLER level shall be averaged with other such measurements using different field combinations. The TRS of the DUT is estimated by measuring the transfer function for each fixed measurement antenna, which gives the BER threshold.</w:t>
            </w:r>
          </w:p>
          <w:p w14:paraId="003C18E1" w14:textId="77777777" w:rsidR="007045D4" w:rsidRDefault="00000000">
            <w:pPr>
              <w:pStyle w:val="4"/>
              <w:keepNext w:val="0"/>
              <w:spacing w:after="40" w:line="254" w:lineRule="auto"/>
              <w:jc w:val="left"/>
              <w:rPr>
                <w:sz w:val="22"/>
                <w:szCs w:val="22"/>
              </w:rPr>
            </w:pPr>
            <w:bookmarkStart w:id="4" w:name="_heading=h.ahd4ahagbxsj" w:colFirst="0" w:colLast="0"/>
            <w:bookmarkEnd w:id="4"/>
            <w:r>
              <w:rPr>
                <w:sz w:val="22"/>
                <w:szCs w:val="22"/>
              </w:rPr>
              <w:t xml:space="preserve">8.6.1.2      </w:t>
            </w:r>
            <w:r>
              <w:rPr>
                <w:sz w:val="22"/>
                <w:szCs w:val="22"/>
              </w:rPr>
              <w:tab/>
              <w:t>UE configurations</w:t>
            </w:r>
          </w:p>
          <w:p w14:paraId="1C932996" w14:textId="77777777" w:rsidR="007045D4" w:rsidRDefault="00000000">
            <w:pPr>
              <w:spacing w:before="240" w:after="240" w:line="254" w:lineRule="auto"/>
              <w:jc w:val="left"/>
            </w:pPr>
            <w:r>
              <w:t>For Standalone, the NR System Simulator (SS) and DUT shall be configured per section 7.3.2 (Reference sensitivity power level) of TS 38.521-1 [5] using the defaults specified in TS 38.521-1 [5] and TS 38.508-1 [7] as applicable. The measurement should be carried out based on the detailed test parameters for each band, as defined in Clause 4.</w:t>
            </w:r>
          </w:p>
          <w:p w14:paraId="54AF1BA9" w14:textId="77777777" w:rsidR="007045D4" w:rsidRDefault="00000000">
            <w:pPr>
              <w:spacing w:before="240" w:after="240" w:line="254" w:lineRule="auto"/>
              <w:jc w:val="left"/>
            </w:pPr>
            <w:r>
              <w:t>For EN-DC, the EN-DC SS and DUT shall be configured per section 7.3B.2 (Reference Sensitivity for EN-DC) of TS 38.521-3 [6], using the defaults specified in TS 38.521-3 [6] and TS 38.508-1 [7], as applicable. The measurement should be carried out based on the detailed test parameters for each band, as defined in Clause 4. The UL power configuration for LTE and NR is 50%-50% power splitting, i.e.,</w:t>
            </w:r>
          </w:p>
          <w:p w14:paraId="5CC50526" w14:textId="77777777" w:rsidR="007045D4" w:rsidRDefault="00000000">
            <w:pPr>
              <w:spacing w:before="240" w:after="240" w:line="254" w:lineRule="auto"/>
              <w:jc w:val="left"/>
            </w:pPr>
            <w:r>
              <w:lastRenderedPageBreak/>
              <w:t xml:space="preserve">- For PC3, p-MaxEUTRA-r15=20 dBm, and p-NR-FR1= </w:t>
            </w:r>
            <w:proofErr w:type="gramStart"/>
            <w:r>
              <w:t>20dBm;</w:t>
            </w:r>
            <w:proofErr w:type="gramEnd"/>
          </w:p>
          <w:p w14:paraId="0D636C15" w14:textId="77777777" w:rsidR="007045D4" w:rsidRDefault="00000000">
            <w:pPr>
              <w:spacing w:before="240" w:after="240" w:line="254" w:lineRule="auto"/>
              <w:jc w:val="left"/>
            </w:pPr>
            <w:r>
              <w:t>- For PC2, p-MaxEUTRA-r15=23 dBm, and p-NR-FR1= 23dBm.</w:t>
            </w:r>
          </w:p>
          <w:p w14:paraId="3A361CF9" w14:textId="77777777" w:rsidR="007045D4" w:rsidRDefault="00000000">
            <w:pPr>
              <w:pStyle w:val="4"/>
              <w:keepNext w:val="0"/>
              <w:spacing w:after="40" w:line="254" w:lineRule="auto"/>
              <w:jc w:val="left"/>
              <w:rPr>
                <w:sz w:val="22"/>
                <w:szCs w:val="22"/>
              </w:rPr>
            </w:pPr>
            <w:bookmarkStart w:id="5" w:name="_heading=h.73ewgloor1fj" w:colFirst="0" w:colLast="0"/>
            <w:bookmarkEnd w:id="5"/>
            <w:r>
              <w:rPr>
                <w:sz w:val="22"/>
                <w:szCs w:val="22"/>
              </w:rPr>
              <w:t xml:space="preserve">8.6.1.3      </w:t>
            </w:r>
            <w:r>
              <w:rPr>
                <w:sz w:val="22"/>
                <w:szCs w:val="22"/>
              </w:rPr>
              <w:tab/>
              <w:t>Test procedure</w:t>
            </w:r>
          </w:p>
          <w:p w14:paraId="490250E7" w14:textId="77777777" w:rsidR="007045D4" w:rsidRDefault="00000000">
            <w:pPr>
              <w:spacing w:after="160" w:line="254" w:lineRule="auto"/>
              <w:jc w:val="left"/>
            </w:pPr>
            <w:r>
              <w:t>For TRS measurement, the evaluations shall be performed at maximum transmit power.</w:t>
            </w:r>
          </w:p>
          <w:p w14:paraId="78E67C97" w14:textId="77777777" w:rsidR="007045D4" w:rsidRDefault="00000000">
            <w:pPr>
              <w:spacing w:after="160" w:line="254" w:lineRule="auto"/>
              <w:jc w:val="left"/>
            </w:pPr>
            <w:r>
              <w:t>The measurement procedure includes the following steps:</w:t>
            </w:r>
          </w:p>
          <w:p w14:paraId="3D46A26B" w14:textId="77777777" w:rsidR="007045D4" w:rsidRDefault="00000000">
            <w:pPr>
              <w:spacing w:after="160" w:line="254" w:lineRule="auto"/>
              <w:ind w:left="360"/>
              <w:jc w:val="left"/>
            </w:pPr>
            <w:r>
              <w:t>1)  Place the DUT inside the test zone.</w:t>
            </w:r>
          </w:p>
          <w:p w14:paraId="59D1BC8F" w14:textId="77777777" w:rsidR="007045D4" w:rsidRDefault="00000000">
            <w:pPr>
              <w:spacing w:after="160" w:line="256" w:lineRule="auto"/>
              <w:ind w:left="920" w:hanging="280"/>
              <w:jc w:val="left"/>
            </w:pPr>
            <w:r>
              <w:t>2)  Connect the DUT through the cables/chamber to the instrument and ensure the DUT is transmitting at its maximum power.</w:t>
            </w:r>
          </w:p>
          <w:p w14:paraId="5E3BA40C" w14:textId="77777777" w:rsidR="007045D4" w:rsidRDefault="00000000">
            <w:pPr>
              <w:spacing w:after="160" w:line="256" w:lineRule="auto"/>
              <w:ind w:left="920" w:hanging="280"/>
              <w:jc w:val="left"/>
            </w:pPr>
            <w:r>
              <w:t>3)  Follow steps 1 through 4 in section 7.3.2.4.2 of TS 38.521-1 [5],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 At least [100] uncorrelated measurement sampling points shall be used.</w:t>
            </w:r>
          </w:p>
          <w:p w14:paraId="311141FE" w14:textId="77777777" w:rsidR="007045D4" w:rsidRDefault="00000000">
            <w:pPr>
              <w:spacing w:before="240" w:after="160" w:line="254" w:lineRule="auto"/>
              <w:jc w:val="left"/>
            </w:pPr>
            <w:r>
              <w:t>The TRS value is calculated using the equation outlined in 5.2.2.</w:t>
            </w:r>
          </w:p>
        </w:tc>
      </w:tr>
    </w:tbl>
    <w:p w14:paraId="4BFAEA8C" w14:textId="77777777" w:rsidR="007045D4" w:rsidRDefault="007045D4">
      <w:pPr>
        <w:jc w:val="left"/>
      </w:pPr>
    </w:p>
    <w:p w14:paraId="7404CBC2" w14:textId="77777777" w:rsidR="007045D4" w:rsidRDefault="00000000">
      <w:pPr>
        <w:pStyle w:val="1"/>
        <w:numPr>
          <w:ilvl w:val="0"/>
          <w:numId w:val="8"/>
        </w:numPr>
        <w:spacing w:before="240"/>
        <w:ind w:left="270"/>
      </w:pPr>
      <w:bookmarkStart w:id="6" w:name="_heading=h.ziso1p0hs4" w:colFirst="0" w:colLast="0"/>
      <w:bookmarkEnd w:id="6"/>
      <w:r>
        <w:t>OTA Evaluation Methodology for XR Devices</w:t>
      </w:r>
    </w:p>
    <w:p w14:paraId="7709B594" w14:textId="77777777" w:rsidR="007045D4" w:rsidRDefault="00000000">
      <w:pPr>
        <w:spacing w:after="0"/>
        <w:jc w:val="left"/>
      </w:pPr>
      <w:r>
        <w:t xml:space="preserve">The OTA evaluation methodology for 2Rx non-RedCap XR devices will be </w:t>
      </w:r>
      <w:proofErr w:type="gramStart"/>
      <w:r>
        <w:t>similar to</w:t>
      </w:r>
      <w:proofErr w:type="gramEnd"/>
      <w:r>
        <w:t xml:space="preserve"> that of legacy UEs. However, defining OTA requirements in RAN4 can take several months or even years to complete. Additionally, it is unlikely that there will be commercially available XR devices in the Release </w:t>
      </w:r>
      <w:proofErr w:type="gramStart"/>
      <w:r>
        <w:t>19 time</w:t>
      </w:r>
      <w:proofErr w:type="gramEnd"/>
      <w:r>
        <w:t xml:space="preserve"> frame. Even if such devices do exist, as stated in [10], OTA requirements are band-specific and rely on large-scale measurement data from commercially available UEs.</w:t>
      </w:r>
    </w:p>
    <w:p w14:paraId="4A87E261" w14:textId="77777777" w:rsidR="007045D4" w:rsidRDefault="007045D4">
      <w:pPr>
        <w:spacing w:after="0"/>
        <w:jc w:val="left"/>
      </w:pPr>
    </w:p>
    <w:p w14:paraId="5A048791" w14:textId="77777777" w:rsidR="007045D4" w:rsidRDefault="00000000">
      <w:pPr>
        <w:spacing w:after="0"/>
        <w:jc w:val="left"/>
      </w:pPr>
      <w:r>
        <w:t>Given these challenges, we propose building a theoretical model and framework to evaluate the performance of XR devices for OTA considerations. This approach would allow us to assess the performance of XR devices without relying on commercially available devices or waiting for the completion of OTA requirement definitions in RAN4.</w:t>
      </w:r>
    </w:p>
    <w:p w14:paraId="7AD1A7D4" w14:textId="77777777" w:rsidR="007045D4" w:rsidRDefault="007045D4">
      <w:pPr>
        <w:spacing w:after="0"/>
        <w:jc w:val="left"/>
      </w:pPr>
    </w:p>
    <w:p w14:paraId="58206E45" w14:textId="77777777" w:rsidR="007045D4" w:rsidRDefault="007045D4">
      <w:pPr>
        <w:spacing w:after="0"/>
        <w:jc w:val="left"/>
      </w:pPr>
    </w:p>
    <w:p w14:paraId="6F332973" w14:textId="77777777" w:rsidR="007045D4" w:rsidRDefault="00000000">
      <w:pPr>
        <w:spacing w:after="0"/>
        <w:jc w:val="left"/>
      </w:pPr>
      <w:r>
        <w:t xml:space="preserve">The proposed theoretical model and framework would </w:t>
      </w:r>
      <w:proofErr w:type="gramStart"/>
      <w:r>
        <w:t>take into account</w:t>
      </w:r>
      <w:proofErr w:type="gramEnd"/>
      <w:r>
        <w:t xml:space="preserve"> the unique properties and advantages of XR glasses, including lower antenna correlation, less uplink SAR backoff, and no impact from antenna loss due to hand-held usage. By simulating various scenarios and conditions, we can gain valuable insights into the performance of XR devices under different conditions and circumstances.</w:t>
      </w:r>
    </w:p>
    <w:p w14:paraId="18CA1F8F" w14:textId="77777777" w:rsidR="007045D4" w:rsidRDefault="007045D4">
      <w:pPr>
        <w:spacing w:after="0"/>
        <w:jc w:val="left"/>
      </w:pPr>
    </w:p>
    <w:p w14:paraId="1D297151" w14:textId="77777777" w:rsidR="007045D4" w:rsidRDefault="00000000">
      <w:pPr>
        <w:spacing w:after="0"/>
        <w:jc w:val="left"/>
      </w:pPr>
      <w:r>
        <w:t xml:space="preserve">In the following, we outline the relevant factors, </w:t>
      </w:r>
      <w:proofErr w:type="gramStart"/>
      <w:r>
        <w:t>parameters</w:t>
      </w:r>
      <w:proofErr w:type="gramEnd"/>
      <w:r>
        <w:t xml:space="preserve"> and modelling assumptions. </w:t>
      </w:r>
    </w:p>
    <w:p w14:paraId="59ECE506" w14:textId="77777777" w:rsidR="007045D4" w:rsidRDefault="007045D4">
      <w:pPr>
        <w:spacing w:after="0"/>
        <w:jc w:val="left"/>
      </w:pPr>
    </w:p>
    <w:p w14:paraId="701B04A6" w14:textId="77777777" w:rsidR="007045D4" w:rsidRDefault="00000000">
      <w:pPr>
        <w:spacing w:after="0"/>
        <w:jc w:val="left"/>
      </w:pPr>
      <w:r>
        <w:t>1. XR Device Form Factor</w:t>
      </w:r>
    </w:p>
    <w:p w14:paraId="578E3C9B" w14:textId="77777777" w:rsidR="007045D4" w:rsidRDefault="007045D4">
      <w:pPr>
        <w:spacing w:after="0"/>
        <w:jc w:val="left"/>
      </w:pPr>
    </w:p>
    <w:p w14:paraId="06B7DA28" w14:textId="77777777" w:rsidR="007045D4" w:rsidRDefault="00000000">
      <w:pPr>
        <w:spacing w:after="0"/>
        <w:jc w:val="left"/>
      </w:pPr>
      <w:r>
        <w:rPr>
          <w:noProof/>
        </w:rPr>
        <w:lastRenderedPageBreak/>
        <w:drawing>
          <wp:inline distT="114300" distB="114300" distL="114300" distR="114300" wp14:anchorId="775E5EC1" wp14:editId="7A6605F3">
            <wp:extent cx="5731200" cy="3276600"/>
            <wp:effectExtent l="0" t="0" r="0" b="0"/>
            <wp:docPr id="151855653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5731200" cy="3276600"/>
                    </a:xfrm>
                    <a:prstGeom prst="rect">
                      <a:avLst/>
                    </a:prstGeom>
                    <a:ln/>
                  </pic:spPr>
                </pic:pic>
              </a:graphicData>
            </a:graphic>
          </wp:inline>
        </w:drawing>
      </w:r>
    </w:p>
    <w:p w14:paraId="5638EDD2" w14:textId="77777777" w:rsidR="007045D4" w:rsidRDefault="00000000">
      <w:pPr>
        <w:spacing w:before="120"/>
        <w:jc w:val="center"/>
        <w:rPr>
          <w:rFonts w:ascii="Arial" w:eastAsia="Arial" w:hAnsi="Arial" w:cs="Arial"/>
          <w:b/>
        </w:rPr>
      </w:pPr>
      <w:r>
        <w:rPr>
          <w:rFonts w:ascii="Arial" w:eastAsia="Arial" w:hAnsi="Arial" w:cs="Arial"/>
          <w:b/>
        </w:rPr>
        <w:t>Figure 2 XR Devices Form Factor</w:t>
      </w:r>
    </w:p>
    <w:p w14:paraId="61088174" w14:textId="77777777" w:rsidR="007045D4" w:rsidRDefault="007045D4">
      <w:pPr>
        <w:spacing w:after="0"/>
        <w:jc w:val="left"/>
      </w:pPr>
    </w:p>
    <w:p w14:paraId="1E5B3C20" w14:textId="77777777" w:rsidR="007045D4" w:rsidRDefault="00000000">
      <w:pPr>
        <w:spacing w:after="0"/>
        <w:jc w:val="left"/>
      </w:pPr>
      <w:r>
        <w:t>XR devices are of different form factors as shown in Fig. 2 [11]. These form factors may differ in processing capabilities, communication types and power consumption. As specified in RP-232657, the 2Rx non-RedCap XR device is designed to be worn on the human head. During use, it is intended to be supported only by or behind the ears and a nose-bridge, resulting in a constrained form factor with limited volume available for Rx chains. In Fig. 1 and our example, we consider a pair of lightweight AR glasses. However, it's important to note that there will be many different types of XR devices that satisfy the definition of an XR device. For each type of XR device, there may be specific OTA requirements that are defined on a case-by-case basis.</w:t>
      </w:r>
    </w:p>
    <w:p w14:paraId="2D1E4A34" w14:textId="77777777" w:rsidR="007045D4" w:rsidRDefault="007045D4">
      <w:pPr>
        <w:spacing w:after="0"/>
        <w:jc w:val="left"/>
      </w:pPr>
    </w:p>
    <w:p w14:paraId="7E1177AA" w14:textId="77777777" w:rsidR="007045D4" w:rsidRDefault="00000000">
      <w:pPr>
        <w:spacing w:after="0"/>
        <w:jc w:val="left"/>
      </w:pPr>
      <w:r>
        <w:t>The RF properties and antenna characteristics of XR devices are highly dependent on their form factor. This includes factors such as the size of the device, the volume of the device, the location of the antennas, the materials used in its construction, and other design elements. These factors can all impact the performance of the device, and therefore need to be carefully considered when developing a theoretical model or framework for evaluation.</w:t>
      </w:r>
    </w:p>
    <w:p w14:paraId="7F28BF99" w14:textId="77777777" w:rsidR="007045D4" w:rsidRDefault="007045D4">
      <w:pPr>
        <w:spacing w:after="0"/>
        <w:jc w:val="left"/>
      </w:pPr>
    </w:p>
    <w:p w14:paraId="594B40C0" w14:textId="77777777" w:rsidR="007045D4" w:rsidRDefault="00000000">
      <w:pPr>
        <w:spacing w:after="0"/>
        <w:jc w:val="left"/>
      </w:pPr>
      <w:r>
        <w:t xml:space="preserve">2. Band </w:t>
      </w:r>
    </w:p>
    <w:p w14:paraId="36FFDC71" w14:textId="77777777" w:rsidR="007045D4" w:rsidRDefault="00000000">
      <w:pPr>
        <w:spacing w:after="0"/>
        <w:jc w:val="left"/>
      </w:pPr>
      <w:r>
        <w:t>The OTA performance of these devices is band-specific, so defining the operating bands, channel bandwidth and subcarrier spacing is an essential first step in the modelling process [9]. This information will help to ensure that the theoretical model or framework accurately reflects the real-world performance of the XR devices in different frequency bands.</w:t>
      </w:r>
    </w:p>
    <w:p w14:paraId="10B8BAF6" w14:textId="77777777" w:rsidR="007045D4" w:rsidRDefault="007045D4">
      <w:pPr>
        <w:spacing w:after="0"/>
        <w:jc w:val="left"/>
      </w:pPr>
    </w:p>
    <w:p w14:paraId="19E93607" w14:textId="77777777" w:rsidR="007045D4" w:rsidRDefault="00000000">
      <w:pPr>
        <w:spacing w:after="0"/>
        <w:jc w:val="left"/>
      </w:pPr>
      <w:r>
        <w:t>3. Usage Scenarios</w:t>
      </w:r>
    </w:p>
    <w:p w14:paraId="22CA6909" w14:textId="77777777" w:rsidR="007045D4" w:rsidRDefault="00000000">
      <w:pPr>
        <w:spacing w:after="0"/>
        <w:jc w:val="left"/>
      </w:pPr>
      <w:r>
        <w:t xml:space="preserve">Unlike traditional handheld devices, XR devices have unique usage scenarios that need to be </w:t>
      </w:r>
      <w:proofErr w:type="gramStart"/>
      <w:r>
        <w:t>taken into account</w:t>
      </w:r>
      <w:proofErr w:type="gramEnd"/>
      <w:r>
        <w:t xml:space="preserve"> when evaluating their performance. For example, talk mode and browsing mode defined for smartphones or forearm phantom for wrist-worn devices are not directly applicable for XR device usage [9]. New usage modes and phantom head requirements need to be defined to accurately assess the performance of XR devices under different conditions. This may include factors such as head movement, body blocking and body loss, and environmental factors like obstacles and reflections.</w:t>
      </w:r>
    </w:p>
    <w:p w14:paraId="4A2C447A" w14:textId="77777777" w:rsidR="007045D4" w:rsidRDefault="007045D4">
      <w:pPr>
        <w:spacing w:after="0"/>
        <w:jc w:val="left"/>
      </w:pPr>
    </w:p>
    <w:p w14:paraId="1F4BDDBB" w14:textId="77777777" w:rsidR="007045D4" w:rsidRDefault="00000000">
      <w:pPr>
        <w:spacing w:after="0"/>
        <w:jc w:val="left"/>
      </w:pPr>
      <w:r>
        <w:t>4. XR Device Antenna Specification</w:t>
      </w:r>
    </w:p>
    <w:p w14:paraId="3C860781" w14:textId="77777777" w:rsidR="007045D4" w:rsidRDefault="00000000">
      <w:pPr>
        <w:spacing w:after="0"/>
        <w:jc w:val="left"/>
      </w:pPr>
      <w:r>
        <w:t xml:space="preserve">Antenna characteristics and assumptions are key determining factors for XR devices. These include </w:t>
      </w:r>
      <w:r>
        <w:lastRenderedPageBreak/>
        <w:t>antenna radiation patterns (including peak gain, antenna efficiency, and directivity), Specific Absorption Rate (SAR), Envelope Correlation Coefficient (ECC), coupling, polarization, and S-parameters [12]. Accurately modelling these antenna characteristics is critical for developing a theoretical model or framework that accurately reflects the real-world performance of XR devices. By taking these factors into account, we can better understand how the antennas will perform in different scenarios and optimize their design for improved performance.</w:t>
      </w:r>
    </w:p>
    <w:p w14:paraId="7CDABF05" w14:textId="77777777" w:rsidR="007045D4" w:rsidRDefault="007045D4">
      <w:pPr>
        <w:spacing w:after="0"/>
        <w:jc w:val="left"/>
      </w:pPr>
    </w:p>
    <w:p w14:paraId="6EDF16E1" w14:textId="77777777" w:rsidR="007045D4" w:rsidRDefault="00000000">
      <w:pPr>
        <w:spacing w:after="0"/>
        <w:jc w:val="left"/>
      </w:pPr>
      <w:r>
        <w:t>5. Channel Simulator</w:t>
      </w:r>
    </w:p>
    <w:p w14:paraId="7F7D9D83" w14:textId="77777777" w:rsidR="007045D4" w:rsidRDefault="00000000">
      <w:pPr>
        <w:spacing w:after="0"/>
        <w:jc w:val="left"/>
      </w:pPr>
      <w:r>
        <w:t>The channel simulator should be able to simulate a wide range of reference measurement channels (RMC) specified by 3GPP [13]. The emulator used for 5G UEs will be sufficient for studying XR UEs.</w:t>
      </w:r>
    </w:p>
    <w:p w14:paraId="11109A76" w14:textId="77777777" w:rsidR="007045D4" w:rsidRDefault="007045D4">
      <w:pPr>
        <w:spacing w:after="0"/>
        <w:jc w:val="left"/>
      </w:pPr>
    </w:p>
    <w:p w14:paraId="45025BB0" w14:textId="77777777" w:rsidR="007045D4" w:rsidRDefault="00000000">
      <w:pPr>
        <w:spacing w:after="0"/>
        <w:jc w:val="left"/>
      </w:pPr>
      <w:r>
        <w:t>6. System Simulator</w:t>
      </w:r>
    </w:p>
    <w:p w14:paraId="068438F8" w14:textId="77777777" w:rsidR="007045D4" w:rsidRDefault="00000000">
      <w:pPr>
        <w:spacing w:after="0"/>
        <w:jc w:val="left"/>
      </w:pPr>
      <w:r>
        <w:t xml:space="preserve">The System Simulator (SS) used for 5G UEs will be sufficient for studying XR UEs [13]. It may be necessary to develop new test cases or scenarios specifically tailored to XR devices to ensure that they are thoroughly tested. </w:t>
      </w:r>
    </w:p>
    <w:p w14:paraId="198A4741" w14:textId="77777777" w:rsidR="007045D4" w:rsidRDefault="007045D4">
      <w:pPr>
        <w:spacing w:after="0"/>
        <w:jc w:val="left"/>
      </w:pPr>
    </w:p>
    <w:p w14:paraId="68DC5530" w14:textId="77777777" w:rsidR="007045D4" w:rsidRDefault="00000000">
      <w:pPr>
        <w:spacing w:after="0"/>
        <w:jc w:val="left"/>
      </w:pPr>
      <w:r>
        <w:t>7. Performance Metrics</w:t>
      </w:r>
    </w:p>
    <w:p w14:paraId="67BD04B3" w14:textId="77777777" w:rsidR="007045D4" w:rsidRDefault="00000000">
      <w:pPr>
        <w:spacing w:after="0"/>
        <w:jc w:val="left"/>
      </w:pPr>
      <w:r>
        <w:t xml:space="preserve">OTA and system performance metrics [11], such as simulated TRS, TRP, SAR, coverage, capacity, </w:t>
      </w:r>
      <w:proofErr w:type="gramStart"/>
      <w:r>
        <w:t>throughput</w:t>
      </w:r>
      <w:proofErr w:type="gramEnd"/>
      <w:r>
        <w:t xml:space="preserve"> and spectral efficiency can be defined and evaluated to assess XR devices performance under different test scenarios and configurations. </w:t>
      </w:r>
    </w:p>
    <w:p w14:paraId="596A474E" w14:textId="77777777" w:rsidR="007045D4" w:rsidRDefault="007045D4">
      <w:pPr>
        <w:spacing w:after="0"/>
        <w:jc w:val="left"/>
      </w:pPr>
    </w:p>
    <w:p w14:paraId="5D3E53FA" w14:textId="77777777" w:rsidR="007045D4" w:rsidRDefault="00000000">
      <w:pPr>
        <w:spacing w:after="0"/>
        <w:jc w:val="left"/>
      </w:pPr>
      <w:r>
        <w:t xml:space="preserve">The </w:t>
      </w:r>
      <w:proofErr w:type="gramStart"/>
      <w:r>
        <w:t>aforementioned considerations</w:t>
      </w:r>
      <w:proofErr w:type="gramEnd"/>
      <w:r>
        <w:t xml:space="preserve"> would enable us to develop OTA requirements that are tailored specifically to XR devices, rather than relying on data from legacy UEs. This would ensure that the OTA requirements are targeted for the unique characteristics of XR devices, leading to more accurate and reliable evaluations of their performance.</w:t>
      </w:r>
    </w:p>
    <w:p w14:paraId="3B287317" w14:textId="77777777" w:rsidR="007045D4" w:rsidRDefault="007045D4">
      <w:pPr>
        <w:spacing w:after="0"/>
        <w:jc w:val="left"/>
      </w:pPr>
    </w:p>
    <w:p w14:paraId="19D407F5" w14:textId="77777777" w:rsidR="007045D4" w:rsidRDefault="00000000">
      <w:pPr>
        <w:spacing w:after="0"/>
        <w:jc w:val="left"/>
      </w:pPr>
      <w:r>
        <w:rPr>
          <w:b/>
        </w:rPr>
        <w:t>Proposal 2</w:t>
      </w:r>
      <w:r>
        <w:t xml:space="preserve">: </w:t>
      </w:r>
      <w:proofErr w:type="gramStart"/>
      <w:r>
        <w:t>In order to</w:t>
      </w:r>
      <w:proofErr w:type="gramEnd"/>
      <w:r>
        <w:t xml:space="preserve"> overcome the challenges of OTA tests, RAN4 develops and utilises a theoretical model to evaluate the performance of XR devices for OTA considerations. </w:t>
      </w:r>
    </w:p>
    <w:p w14:paraId="76420A3B" w14:textId="77777777" w:rsidR="007045D4" w:rsidRDefault="00000000">
      <w:pPr>
        <w:pStyle w:val="1"/>
        <w:numPr>
          <w:ilvl w:val="0"/>
          <w:numId w:val="8"/>
        </w:numPr>
        <w:spacing w:before="240"/>
        <w:ind w:left="270" w:hanging="270"/>
      </w:pPr>
      <w:r>
        <w:t>Conclusions</w:t>
      </w:r>
    </w:p>
    <w:p w14:paraId="5E8F7D88" w14:textId="77777777" w:rsidR="007045D4" w:rsidRDefault="00000000">
      <w:r>
        <w:t xml:space="preserve">In this paper, we provide OTA performance considerations of 2Rx non-RedCap XR devices. We propose to develop a theoretical model to evaluate the OTA performance of XR devices.  </w:t>
      </w:r>
    </w:p>
    <w:p w14:paraId="41CFAD3D" w14:textId="77777777" w:rsidR="007045D4" w:rsidRDefault="00000000">
      <w:r>
        <w:rPr>
          <w:b/>
        </w:rPr>
        <w:t>Proposal 1</w:t>
      </w:r>
      <w:r>
        <w:t>: The several key advantages of antenna design and properties of the XR glasses compared to smartphone antennas provide natural mitigation to performance impact of 2Rx vs 4Rx. The performance of XR glasses can be expected to be on-par or outperform compared with a pair of antennas of 4Rx smartphones. The antenna advantages of XR glasses include lower antenna correlation, less uplink SAR backoff, and no impact from antenna loss due to hand-held usage.</w:t>
      </w:r>
    </w:p>
    <w:p w14:paraId="5735C70A" w14:textId="77777777" w:rsidR="007045D4" w:rsidRDefault="00000000">
      <w:pPr>
        <w:spacing w:after="0"/>
        <w:jc w:val="left"/>
      </w:pPr>
      <w:r>
        <w:rPr>
          <w:b/>
        </w:rPr>
        <w:t>Proposal 2</w:t>
      </w:r>
      <w:r>
        <w:t xml:space="preserve">: </w:t>
      </w:r>
      <w:proofErr w:type="gramStart"/>
      <w:r>
        <w:t>In order to</w:t>
      </w:r>
      <w:proofErr w:type="gramEnd"/>
      <w:r>
        <w:t xml:space="preserve"> overcome the challenges of OTA tests, RAN4 develops and utilises a theoretical model to evaluate the performance of XR devices for OTA considerations. </w:t>
      </w:r>
    </w:p>
    <w:p w14:paraId="4521A838" w14:textId="77777777" w:rsidR="007045D4" w:rsidRDefault="007045D4">
      <w:pPr>
        <w:pStyle w:val="1"/>
        <w:spacing w:before="240"/>
      </w:pPr>
    </w:p>
    <w:p w14:paraId="373F412A" w14:textId="77777777" w:rsidR="007045D4" w:rsidRDefault="007045D4">
      <w:pPr>
        <w:pStyle w:val="1"/>
        <w:spacing w:before="240"/>
      </w:pPr>
    </w:p>
    <w:p w14:paraId="10B3B36A" w14:textId="77777777" w:rsidR="007045D4" w:rsidRDefault="007045D4">
      <w:pPr>
        <w:pStyle w:val="1"/>
        <w:spacing w:before="240"/>
      </w:pPr>
    </w:p>
    <w:p w14:paraId="58F6A41A" w14:textId="77777777" w:rsidR="007045D4" w:rsidRDefault="00000000">
      <w:pPr>
        <w:pStyle w:val="1"/>
        <w:spacing w:before="240"/>
      </w:pPr>
      <w:r>
        <w:br w:type="page"/>
      </w:r>
    </w:p>
    <w:p w14:paraId="090254F0" w14:textId="77777777" w:rsidR="007045D4" w:rsidRDefault="00000000">
      <w:pPr>
        <w:pStyle w:val="1"/>
        <w:spacing w:before="240"/>
      </w:pPr>
      <w:r>
        <w:lastRenderedPageBreak/>
        <w:t>Reference</w:t>
      </w:r>
    </w:p>
    <w:p w14:paraId="39812659" w14:textId="77777777" w:rsidR="007045D4" w:rsidRDefault="00000000">
      <w:pPr>
        <w:widowControl/>
        <w:jc w:val="left"/>
      </w:pPr>
      <w:r>
        <w:t>[1] RP-232657, “Moderator's summary on 2Rx for XR,” Nokia (Moderator)</w:t>
      </w:r>
    </w:p>
    <w:p w14:paraId="2AA8EFC9" w14:textId="77777777" w:rsidR="007045D4" w:rsidRDefault="00000000">
      <w:pPr>
        <w:widowControl/>
        <w:jc w:val="left"/>
      </w:pPr>
      <w:r>
        <w:t>[2] RP-234015, “Moderator Summary and Way Forward on 2Rx XR,” Nokia (Moderator)</w:t>
      </w:r>
    </w:p>
    <w:p w14:paraId="2E03C87D" w14:textId="77777777" w:rsidR="007045D4" w:rsidRDefault="00000000">
      <w:pPr>
        <w:widowControl/>
        <w:jc w:val="left"/>
      </w:pPr>
      <w:r>
        <w:t>[3] RP-233555 “Views on 2RX for XR wearables”, Meta</w:t>
      </w:r>
    </w:p>
    <w:p w14:paraId="622F2E69" w14:textId="77777777" w:rsidR="007045D4" w:rsidRDefault="00000000">
      <w:pPr>
        <w:widowControl/>
        <w:jc w:val="left"/>
      </w:pPr>
      <w:r>
        <w:t>[4] Project Aria:</w:t>
      </w:r>
      <w:hyperlink r:id="rId10">
        <w:r>
          <w:t xml:space="preserve"> </w:t>
        </w:r>
      </w:hyperlink>
      <w:hyperlink r:id="rId11">
        <w:r>
          <w:rPr>
            <w:color w:val="0000FF"/>
            <w:u w:val="single"/>
          </w:rPr>
          <w:t>https://about.meta.com/realitylabs/projectaria/</w:t>
        </w:r>
      </w:hyperlink>
    </w:p>
    <w:p w14:paraId="47146B87" w14:textId="77777777" w:rsidR="007045D4" w:rsidRDefault="00000000">
      <w:pPr>
        <w:widowControl/>
        <w:jc w:val="left"/>
      </w:pPr>
      <w:r>
        <w:t>[5] CVPR 2022 Tutorial: Towards always-on egocentric vision research using Meta’s Aria glasses, June 19, 2022.</w:t>
      </w:r>
    </w:p>
    <w:p w14:paraId="756DFDC5" w14:textId="77777777" w:rsidR="007045D4" w:rsidRDefault="00000000">
      <w:pPr>
        <w:widowControl/>
        <w:jc w:val="left"/>
      </w:pPr>
      <w:r>
        <w:t>[6]RP-230304, “Views on support of XR with 2Rx”, Qualcomm</w:t>
      </w:r>
    </w:p>
    <w:p w14:paraId="17AD65B5" w14:textId="77777777" w:rsidR="007045D4" w:rsidRDefault="00000000">
      <w:pPr>
        <w:widowControl/>
        <w:jc w:val="left"/>
      </w:pPr>
      <w:r>
        <w:t>[7] RP-231300, “On 2Rx relaxation for XR”, Apple Inc.</w:t>
      </w:r>
    </w:p>
    <w:p w14:paraId="72237D09" w14:textId="77777777" w:rsidR="007045D4" w:rsidRDefault="00000000">
      <w:pPr>
        <w:widowControl/>
        <w:jc w:val="left"/>
      </w:pPr>
      <w:r>
        <w:t>[8] RP-233074, “WI summary: Enhancement of UE TRP (Total Radiated Power) and TRS (Total Radiated Sensitivity) requirements and test methodologies for FR1 (NR SA and EN-DC)</w:t>
      </w:r>
      <w:proofErr w:type="gramStart"/>
      <w:r>
        <w:t xml:space="preserve">,”   </w:t>
      </w:r>
      <w:proofErr w:type="gramEnd"/>
      <w:r>
        <w:t xml:space="preserve">           vivo</w:t>
      </w:r>
    </w:p>
    <w:p w14:paraId="5680A985" w14:textId="77777777" w:rsidR="007045D4" w:rsidRDefault="00000000">
      <w:pPr>
        <w:widowControl/>
        <w:jc w:val="left"/>
      </w:pPr>
      <w:r>
        <w:t>[9] TR38.</w:t>
      </w:r>
      <w:proofErr w:type="gramStart"/>
      <w:r>
        <w:t>870  “</w:t>
      </w:r>
      <w:proofErr w:type="gramEnd"/>
      <w:r>
        <w:t xml:space="preserve">Enhanced Over-the-Air (OTA) test methods for NR FR1 Total Radiated Power (TRP) and Total Radiated Sensitivity (TRS) </w:t>
      </w:r>
    </w:p>
    <w:p w14:paraId="20F438D9" w14:textId="77777777" w:rsidR="007045D4" w:rsidRDefault="00000000">
      <w:pPr>
        <w:widowControl/>
        <w:spacing w:before="240" w:after="240" w:line="276" w:lineRule="auto"/>
        <w:jc w:val="left"/>
      </w:pPr>
      <w:r>
        <w:t>[10] RP-233605, “Remaining issues on 2Rx relaxation for XR wearable devices”, Huawei, HiSilicon</w:t>
      </w:r>
    </w:p>
    <w:p w14:paraId="54359507" w14:textId="77777777" w:rsidR="007045D4" w:rsidRDefault="00000000">
      <w:pPr>
        <w:widowControl/>
        <w:spacing w:before="240" w:after="240" w:line="276" w:lineRule="auto"/>
        <w:jc w:val="left"/>
      </w:pPr>
      <w:r>
        <w:t>[11] TR26.928, “Extended Reality (XR) in 5G”</w:t>
      </w:r>
    </w:p>
    <w:p w14:paraId="26A3103A" w14:textId="77777777" w:rsidR="007045D4" w:rsidRDefault="00000000">
      <w:pPr>
        <w:widowControl/>
        <w:spacing w:before="240" w:after="240" w:line="276" w:lineRule="auto"/>
        <w:jc w:val="left"/>
      </w:pPr>
      <w:r>
        <w:t>[12] “Antenna Theory: Analysis and Design 4th Edition”, Constantine A. Balanis</w:t>
      </w:r>
    </w:p>
    <w:p w14:paraId="58B23D03" w14:textId="77777777" w:rsidR="007045D4" w:rsidRDefault="00000000">
      <w:pPr>
        <w:widowControl/>
        <w:spacing w:before="240" w:after="240" w:line="276" w:lineRule="auto"/>
        <w:jc w:val="left"/>
      </w:pPr>
      <w:r>
        <w:t>[13] TR38.810, “Study on Test Methods”</w:t>
      </w:r>
    </w:p>
    <w:p w14:paraId="48DB81EB" w14:textId="77777777" w:rsidR="007045D4" w:rsidRDefault="007045D4">
      <w:pPr>
        <w:widowControl/>
        <w:spacing w:before="240" w:after="240" w:line="276" w:lineRule="auto"/>
        <w:jc w:val="left"/>
        <w:rPr>
          <w:sz w:val="20"/>
          <w:szCs w:val="20"/>
        </w:rPr>
      </w:pPr>
    </w:p>
    <w:p w14:paraId="2813E871" w14:textId="77777777" w:rsidR="007045D4" w:rsidRDefault="007045D4">
      <w:pPr>
        <w:widowControl/>
        <w:spacing w:before="240" w:after="240"/>
        <w:rPr>
          <w:sz w:val="20"/>
          <w:szCs w:val="20"/>
        </w:rPr>
      </w:pPr>
    </w:p>
    <w:p w14:paraId="1EC90940" w14:textId="77777777" w:rsidR="007045D4" w:rsidRDefault="007045D4">
      <w:pPr>
        <w:widowControl/>
        <w:pBdr>
          <w:top w:val="nil"/>
          <w:left w:val="nil"/>
          <w:bottom w:val="nil"/>
          <w:right w:val="nil"/>
          <w:between w:val="nil"/>
        </w:pBdr>
        <w:ind w:left="1247" w:hanging="1247"/>
        <w:rPr>
          <w:sz w:val="20"/>
          <w:szCs w:val="20"/>
        </w:rPr>
      </w:pPr>
    </w:p>
    <w:p w14:paraId="217499B2" w14:textId="77777777" w:rsidR="007045D4" w:rsidRDefault="007045D4">
      <w:pPr>
        <w:widowControl/>
        <w:pBdr>
          <w:top w:val="nil"/>
          <w:left w:val="nil"/>
          <w:bottom w:val="nil"/>
          <w:right w:val="nil"/>
          <w:between w:val="nil"/>
        </w:pBdr>
        <w:ind w:left="1247" w:hanging="1247"/>
        <w:rPr>
          <w:sz w:val="20"/>
          <w:szCs w:val="20"/>
        </w:rPr>
      </w:pPr>
    </w:p>
    <w:p w14:paraId="1138F30C" w14:textId="77777777" w:rsidR="007045D4" w:rsidRDefault="007045D4">
      <w:pPr>
        <w:widowControl/>
        <w:pBdr>
          <w:top w:val="nil"/>
          <w:left w:val="nil"/>
          <w:bottom w:val="nil"/>
          <w:right w:val="nil"/>
          <w:between w:val="nil"/>
        </w:pBdr>
        <w:ind w:left="1247" w:hanging="1247"/>
        <w:rPr>
          <w:sz w:val="20"/>
          <w:szCs w:val="20"/>
        </w:rPr>
      </w:pPr>
    </w:p>
    <w:p w14:paraId="50D0BB5F" w14:textId="77777777" w:rsidR="007045D4" w:rsidRDefault="007045D4">
      <w:pPr>
        <w:widowControl/>
        <w:rPr>
          <w:sz w:val="20"/>
          <w:szCs w:val="20"/>
        </w:rPr>
      </w:pPr>
    </w:p>
    <w:sectPr w:rsidR="007045D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3536E" w14:textId="77777777" w:rsidR="004171DC" w:rsidRDefault="004171DC" w:rsidP="000A458E">
      <w:pPr>
        <w:spacing w:after="0"/>
      </w:pPr>
      <w:r>
        <w:separator/>
      </w:r>
    </w:p>
  </w:endnote>
  <w:endnote w:type="continuationSeparator" w:id="0">
    <w:p w14:paraId="59532102" w14:textId="77777777" w:rsidR="004171DC" w:rsidRDefault="004171DC" w:rsidP="000A45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33A4F" w14:textId="77777777" w:rsidR="004171DC" w:rsidRDefault="004171DC" w:rsidP="000A458E">
      <w:pPr>
        <w:spacing w:after="0"/>
      </w:pPr>
      <w:r>
        <w:separator/>
      </w:r>
    </w:p>
  </w:footnote>
  <w:footnote w:type="continuationSeparator" w:id="0">
    <w:p w14:paraId="431EFCE9" w14:textId="77777777" w:rsidR="004171DC" w:rsidRDefault="004171DC" w:rsidP="000A45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92552"/>
    <w:multiLevelType w:val="multilevel"/>
    <w:tmpl w:val="E1CE5464"/>
    <w:lvl w:ilvl="0">
      <w:start w:val="2"/>
      <w:numFmt w:val="decimal"/>
      <w:lvlText w:val="%1."/>
      <w:lvlJc w:val="left"/>
      <w:pPr>
        <w:ind w:left="417" w:hanging="420"/>
      </w:pPr>
    </w:lvl>
    <w:lvl w:ilvl="1">
      <w:start w:val="1"/>
      <w:numFmt w:val="decimal"/>
      <w:lvlText w:val="%1.%2"/>
      <w:lvlJc w:val="left"/>
      <w:pPr>
        <w:ind w:left="510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1" w15:restartNumberingAfterBreak="0">
    <w:nsid w:val="2ABD408B"/>
    <w:multiLevelType w:val="multilevel"/>
    <w:tmpl w:val="A95E07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E7B3505"/>
    <w:multiLevelType w:val="multilevel"/>
    <w:tmpl w:val="8BB4E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F9C1418"/>
    <w:multiLevelType w:val="multilevel"/>
    <w:tmpl w:val="31E0C23C"/>
    <w:lvl w:ilvl="0">
      <w:start w:val="3"/>
      <w:numFmt w:val="bullet"/>
      <w:pStyle w:val="CharCharCharChar"/>
      <w:lvlText w:val="-"/>
      <w:lvlJc w:val="left"/>
      <w:pPr>
        <w:ind w:left="1080" w:hanging="360"/>
      </w:pPr>
      <w:rPr>
        <w:rFonts w:ascii="Calibri" w:eastAsia="Calibri" w:hAnsi="Calibri" w:cs="Calibri"/>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41C56941"/>
    <w:multiLevelType w:val="multilevel"/>
    <w:tmpl w:val="624A39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5ECE5126"/>
    <w:multiLevelType w:val="multilevel"/>
    <w:tmpl w:val="AB185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19A2539"/>
    <w:multiLevelType w:val="multilevel"/>
    <w:tmpl w:val="659EEC4A"/>
    <w:lvl w:ilvl="0">
      <w:start w:val="1"/>
      <w:numFmt w:val="decimal"/>
      <w:pStyle w:val="References"/>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7" w15:restartNumberingAfterBreak="0">
    <w:nsid w:val="7F69250C"/>
    <w:multiLevelType w:val="multilevel"/>
    <w:tmpl w:val="D57A5BB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2096508884">
    <w:abstractNumId w:val="6"/>
  </w:num>
  <w:num w:numId="2" w16cid:durableId="1652170709">
    <w:abstractNumId w:val="1"/>
  </w:num>
  <w:num w:numId="3" w16cid:durableId="1962110855">
    <w:abstractNumId w:val="3"/>
  </w:num>
  <w:num w:numId="4" w16cid:durableId="1963267572">
    <w:abstractNumId w:val="7"/>
  </w:num>
  <w:num w:numId="5" w16cid:durableId="1280453868">
    <w:abstractNumId w:val="2"/>
  </w:num>
  <w:num w:numId="6" w16cid:durableId="1835412281">
    <w:abstractNumId w:val="5"/>
  </w:num>
  <w:num w:numId="7" w16cid:durableId="1350376585">
    <w:abstractNumId w:val="4"/>
  </w:num>
  <w:num w:numId="8" w16cid:durableId="2002077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5D4"/>
    <w:rsid w:val="000A458E"/>
    <w:rsid w:val="004171DC"/>
    <w:rsid w:val="007045D4"/>
    <w:rsid w:val="00D02E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DE161"/>
  <w15:docId w15:val="{F1102CD6-294C-4B9E-BE4D-7CE556F1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qFormat/>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qFormat/>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8">
    <w:name w:val="18"/>
    <w:basedOn w:val="TableNormal1"/>
    <w:pPr>
      <w:spacing w:after="180"/>
    </w:pPr>
    <w:tblPr>
      <w:tblStyleRowBandSize w:val="1"/>
      <w:tblStyleColBandSize w:val="1"/>
      <w:tblCellMar>
        <w:left w:w="108" w:type="dxa"/>
        <w:right w:w="108" w:type="dxa"/>
      </w:tblCellMar>
    </w:tblPr>
  </w:style>
  <w:style w:type="table" w:customStyle="1" w:styleId="17">
    <w:name w:val="17"/>
    <w:basedOn w:val="TableNormal1"/>
    <w:tblPr>
      <w:tblStyleRowBandSize w:val="1"/>
      <w:tblStyleColBandSize w:val="1"/>
      <w:tblCellMar>
        <w:left w:w="115" w:type="dxa"/>
        <w:right w:w="115" w:type="dxa"/>
      </w:tblCellMar>
    </w:tblPr>
  </w:style>
  <w:style w:type="table" w:customStyle="1" w:styleId="16">
    <w:name w:val="16"/>
    <w:basedOn w:val="TableNormal1"/>
    <w:pPr>
      <w:spacing w:after="180"/>
    </w:pPr>
    <w:tblPr>
      <w:tblStyleRowBandSize w:val="1"/>
      <w:tblStyleColBandSize w:val="1"/>
      <w:tblCellMar>
        <w:left w:w="115" w:type="dxa"/>
        <w:right w:w="115" w:type="dxa"/>
      </w:tblCellMar>
    </w:tblPr>
  </w:style>
  <w:style w:type="table" w:customStyle="1" w:styleId="15">
    <w:name w:val="15"/>
    <w:basedOn w:val="TableNormal1"/>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0">
    <w:name w:val="12"/>
    <w:basedOn w:val="TableNormal1"/>
    <w:pPr>
      <w:spacing w:after="180"/>
    </w:pPr>
    <w:tblPr>
      <w:tblStyleRowBandSize w:val="1"/>
      <w:tblStyleColBandSize w:val="1"/>
      <w:tblCellMar>
        <w:left w:w="115" w:type="dxa"/>
        <w:right w:w="115" w:type="dxa"/>
      </w:tblCellMar>
    </w:tblPr>
  </w:style>
  <w:style w:type="table" w:customStyle="1" w:styleId="110">
    <w:name w:val="11"/>
    <w:basedOn w:val="TableNormal1"/>
    <w:pPr>
      <w:spacing w:after="180"/>
    </w:pPr>
    <w:tblPr>
      <w:tblStyleRowBandSize w:val="1"/>
      <w:tblStyleColBandSize w:val="1"/>
      <w:tblCellMar>
        <w:left w:w="115" w:type="dxa"/>
        <w:right w:w="115" w:type="dxa"/>
      </w:tblCellMar>
    </w:tblPr>
  </w:style>
  <w:style w:type="table" w:customStyle="1" w:styleId="100">
    <w:name w:val="10"/>
    <w:basedOn w:val="TableNormal2"/>
    <w:pPr>
      <w:spacing w:after="180"/>
    </w:pPr>
    <w:tblPr>
      <w:tblStyleRowBandSize w:val="1"/>
      <w:tblStyleColBandSize w:val="1"/>
      <w:tblCellMar>
        <w:left w:w="115" w:type="dxa"/>
        <w:right w:w="115" w:type="dxa"/>
      </w:tblCellMar>
    </w:tblPr>
  </w:style>
  <w:style w:type="table" w:customStyle="1" w:styleId="91">
    <w:name w:val="9"/>
    <w:basedOn w:val="TableNormal2"/>
    <w:pPr>
      <w:spacing w:after="180"/>
    </w:pPr>
    <w:tblPr>
      <w:tblStyleRowBandSize w:val="1"/>
      <w:tblStyleColBandSize w:val="1"/>
      <w:tblCellMar>
        <w:left w:w="115" w:type="dxa"/>
        <w:right w:w="115" w:type="dxa"/>
      </w:tblCellMar>
    </w:tblPr>
  </w:style>
  <w:style w:type="table" w:customStyle="1" w:styleId="81">
    <w:name w:val="8"/>
    <w:basedOn w:val="TableNormal2"/>
    <w:pPr>
      <w:spacing w:after="180"/>
    </w:pPr>
    <w:tblPr>
      <w:tblStyleRowBandSize w:val="1"/>
      <w:tblStyleColBandSize w:val="1"/>
      <w:tblCellMar>
        <w:left w:w="115" w:type="dxa"/>
        <w:right w:w="115" w:type="dxa"/>
      </w:tblCellMar>
    </w:tblPr>
  </w:style>
  <w:style w:type="table" w:customStyle="1" w:styleId="TableGrid25">
    <w:name w:val="Table Grid25"/>
    <w:basedOn w:val="a1"/>
    <w:next w:val="ad"/>
    <w:qFormat/>
    <w:rsid w:val="00852E35"/>
    <w:pPr>
      <w:widowControl/>
      <w:overflowPunct w:val="0"/>
      <w:autoSpaceDE w:val="0"/>
      <w:autoSpaceDN w:val="0"/>
      <w:adjustRightInd w:val="0"/>
      <w:spacing w:after="180"/>
      <w:jc w:val="left"/>
      <w:textAlignment w:val="baseline"/>
    </w:pPr>
    <w:rPr>
      <w:rFonts w:eastAsia="SimSu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7"/>
    <w:basedOn w:val="TableNormal3"/>
    <w:pPr>
      <w:spacing w:after="180"/>
    </w:pPr>
    <w:tblPr>
      <w:tblStyleRowBandSize w:val="1"/>
      <w:tblStyleColBandSize w:val="1"/>
      <w:tblCellMar>
        <w:left w:w="115" w:type="dxa"/>
        <w:right w:w="115" w:type="dxa"/>
      </w:tblCellMar>
    </w:tblPr>
  </w:style>
  <w:style w:type="table" w:customStyle="1" w:styleId="61">
    <w:name w:val="6"/>
    <w:basedOn w:val="TableNormal3"/>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bout.meta.com/realitylabs/projectaria/" TargetMode="External"/><Relationship Id="rId5" Type="http://schemas.openxmlformats.org/officeDocument/2006/relationships/webSettings" Target="webSettings.xml"/><Relationship Id="rId10" Type="http://schemas.openxmlformats.org/officeDocument/2006/relationships/hyperlink" Target="https://about.meta.com/realitylabs/projectaria/"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a1fDAkX8MPoLr96ol3kBn/QCmQ==">CgMxLjAyCGguZ2pkZ3hzMg5oLjgxMXVoNGZwMGJjNjIOaC5pN3c2bGk5dG52Zm4yDmgucWd3OGYxd2ltbzE4Mg5oLmFoZDRhaGFnYnhzajIOaC43M2V3Z2xvb3IxZmoyDGguemlzbzFwMGhzNDgAciExSlY0MnNqaFNUTDlCNG5mVnJsbEtwVWxEbWdkaEpGVi0=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2792</Words>
  <Characters>15916</Characters>
  <Application>Microsoft Office Word</Application>
  <DocSecurity>0</DocSecurity>
  <Lines>132</Lines>
  <Paragraphs>37</Paragraphs>
  <ScaleCrop>false</ScaleCrop>
  <Company/>
  <LinksUpToDate>false</LinksUpToDate>
  <CharactersWithSpaces>18671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2</cp:revision>
  <dcterms:created xsi:type="dcterms:W3CDTF">2024-02-16T02:14:00Z</dcterms:created>
  <dcterms:modified xsi:type="dcterms:W3CDTF">2024-02-16T02:14:00Z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